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607" w:rsidRDefault="00554DB6">
      <w:pPr>
        <w:jc w:val="both"/>
      </w:pPr>
      <w:r>
        <w:rPr>
          <w:b/>
          <w:i/>
        </w:rPr>
        <w:t>Suvestinė redakcija nuo 2023-09-30</w:t>
      </w:r>
    </w:p>
    <w:p w:rsidR="00E96607" w:rsidRDefault="00E96607">
      <w:pPr>
        <w:jc w:val="both"/>
        <w:rPr>
          <w:sz w:val="20"/>
        </w:rPr>
      </w:pPr>
    </w:p>
    <w:p w:rsidR="00E96607" w:rsidRDefault="00554DB6">
      <w:pPr>
        <w:jc w:val="both"/>
        <w:rPr>
          <w:sz w:val="20"/>
        </w:rPr>
      </w:pPr>
      <w:r>
        <w:rPr>
          <w:i/>
          <w:sz w:val="20"/>
        </w:rPr>
        <w:t>Sprendimas paskelbtas: TAR 2019-09-02, i. k. 2019-13817</w:t>
      </w:r>
    </w:p>
    <w:p w:rsidR="00E96607" w:rsidRDefault="00E96607">
      <w:pPr>
        <w:jc w:val="both"/>
        <w:rPr>
          <w:sz w:val="20"/>
        </w:rPr>
      </w:pPr>
    </w:p>
    <w:p w:rsidR="00E96607" w:rsidRDefault="00E96607">
      <w:pPr>
        <w:tabs>
          <w:tab w:val="center" w:pos="4153"/>
          <w:tab w:val="right" w:pos="8306"/>
        </w:tabs>
        <w:rPr>
          <w:b/>
          <w:caps/>
          <w:lang w:eastAsia="lt-LT"/>
        </w:rPr>
      </w:pPr>
    </w:p>
    <w:p w:rsidR="00E96607" w:rsidRDefault="00554DB6">
      <w:pPr>
        <w:tabs>
          <w:tab w:val="center" w:pos="4153"/>
          <w:tab w:val="right" w:pos="8306"/>
        </w:tabs>
        <w:jc w:val="center"/>
        <w:rPr>
          <w:b/>
          <w:caps/>
          <w:sz w:val="4"/>
          <w:szCs w:val="4"/>
          <w:lang w:eastAsia="lt-LT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81025" cy="704850"/>
            <wp:effectExtent l="19050" t="0" r="9525" b="0"/>
            <wp:docPr id="3" name="Picture 1" descr="herbas_jb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b_s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607" w:rsidRDefault="00E96607">
      <w:pPr>
        <w:tabs>
          <w:tab w:val="center" w:pos="4153"/>
          <w:tab w:val="right" w:pos="8306"/>
        </w:tabs>
        <w:jc w:val="center"/>
        <w:rPr>
          <w:b/>
          <w:caps/>
          <w:sz w:val="4"/>
          <w:szCs w:val="4"/>
          <w:lang w:eastAsia="lt-LT"/>
        </w:rPr>
      </w:pPr>
    </w:p>
    <w:p w:rsidR="00E96607" w:rsidRDefault="00554DB6">
      <w:pPr>
        <w:tabs>
          <w:tab w:val="center" w:pos="4153"/>
          <w:tab w:val="right" w:pos="8306"/>
        </w:tabs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Joniškio rajono savivaldybės</w:t>
      </w:r>
      <w:r>
        <w:rPr>
          <w:b/>
          <w:caps/>
          <w:lang w:eastAsia="lt-LT"/>
        </w:rPr>
        <w:br/>
        <w:t>TARYBA</w:t>
      </w:r>
    </w:p>
    <w:p w:rsidR="00E96607" w:rsidRDefault="00E96607">
      <w:pPr>
        <w:tabs>
          <w:tab w:val="center" w:pos="4153"/>
          <w:tab w:val="right" w:pos="8306"/>
        </w:tabs>
        <w:jc w:val="center"/>
        <w:rPr>
          <w:lang w:eastAsia="lt-LT"/>
        </w:rPr>
      </w:pPr>
    </w:p>
    <w:p w:rsidR="00E96607" w:rsidRDefault="00554DB6">
      <w:pPr>
        <w:jc w:val="center"/>
        <w:rPr>
          <w:b/>
          <w:lang w:eastAsia="lt-LT"/>
        </w:rPr>
      </w:pPr>
      <w:r>
        <w:rPr>
          <w:b/>
          <w:lang w:eastAsia="lt-LT"/>
        </w:rPr>
        <w:t>SPRENDIMAS</w:t>
      </w:r>
    </w:p>
    <w:p w:rsidR="00E96607" w:rsidRDefault="00554DB6">
      <w:pPr>
        <w:jc w:val="center"/>
        <w:rPr>
          <w:b/>
          <w:bCs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dėl </w:t>
      </w:r>
      <w:r>
        <w:rPr>
          <w:b/>
          <w:bCs/>
          <w:szCs w:val="24"/>
          <w:lang w:eastAsia="lt-LT"/>
        </w:rPr>
        <w:t xml:space="preserve">MOKESČIO UŽ VAIKŲ, UGDOMŲ PAGAL </w:t>
      </w:r>
      <w:r>
        <w:rPr>
          <w:b/>
          <w:bCs/>
          <w:szCs w:val="24"/>
          <w:lang w:eastAsia="lt-LT"/>
        </w:rPr>
        <w:t>IKIMOKYKLINIO IR PRIEŠMOKYKLINIO UGDYMO PROGRAMAS, IŠLAIKYMĄ JONIŠKIO RAJONO SAVIVALDYBĖS ŠVIETIMO ĮSTAIGOSE TVARKOS APRAŠO PATVIRTINIMO</w:t>
      </w:r>
    </w:p>
    <w:p w:rsidR="00E96607" w:rsidRDefault="00E96607">
      <w:pPr>
        <w:jc w:val="center"/>
        <w:rPr>
          <w:b/>
          <w:bCs/>
          <w:szCs w:val="24"/>
          <w:lang w:eastAsia="lt-LT"/>
        </w:rPr>
      </w:pPr>
    </w:p>
    <w:p w:rsidR="00E96607" w:rsidRDefault="00554DB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2019 m. rugpjūčio 29 d.  Nr. T-183</w:t>
      </w:r>
    </w:p>
    <w:p w:rsidR="00E96607" w:rsidRDefault="00554DB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Joniškis</w:t>
      </w:r>
    </w:p>
    <w:p w:rsidR="00E96607" w:rsidRDefault="00E96607">
      <w:pPr>
        <w:jc w:val="center"/>
        <w:rPr>
          <w:szCs w:val="24"/>
          <w:lang w:eastAsia="lt-LT"/>
        </w:rPr>
      </w:pPr>
    </w:p>
    <w:p w:rsidR="00E96607" w:rsidRDefault="00E96607">
      <w:pPr>
        <w:jc w:val="center"/>
        <w:rPr>
          <w:szCs w:val="24"/>
          <w:lang w:eastAsia="lt-LT"/>
        </w:rPr>
      </w:pP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vietos savivaldos įstatymo 6 straipsn</w:t>
      </w:r>
      <w:r>
        <w:rPr>
          <w:szCs w:val="24"/>
          <w:lang w:eastAsia="lt-LT"/>
        </w:rPr>
        <w:t>io 10 punktu, Lietuvos Respublikos švietimo įstatymo 70 straipsnio 11 dalimi, Joniškio rajono savivaldybės taryba n u s p r e n d ž i a</w:t>
      </w:r>
      <w:r>
        <w:t xml:space="preserve"> 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Preambulės pakeitimai: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T-150</w:t>
        </w:r>
      </w:hyperlink>
      <w:r>
        <w:rPr>
          <w:rFonts w:eastAsia="MS Mincho"/>
          <w:i/>
          <w:iCs/>
          <w:sz w:val="20"/>
        </w:rPr>
        <w:t>, 2023-09-28, paskelbta TAR 2023-09-29, i. k. 2023-19053</w:t>
      </w:r>
    </w:p>
    <w:p w:rsidR="00E96607" w:rsidRDefault="00E96607"/>
    <w:p w:rsidR="00E96607" w:rsidRDefault="00554DB6">
      <w:pPr>
        <w:ind w:firstLine="74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color w:val="000000"/>
          <w:spacing w:val="6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>Patvirtinti M</w:t>
      </w:r>
      <w:r>
        <w:rPr>
          <w:szCs w:val="24"/>
          <w:lang w:eastAsia="lt-LT"/>
        </w:rPr>
        <w:t>okesčio už vaikų, ugdomų pagal ikimokyklinio ir priešmokyklinio ugdymo</w:t>
      </w:r>
      <w:r>
        <w:rPr>
          <w:color w:val="000000"/>
          <w:spacing w:val="60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programas, </w:t>
      </w:r>
      <w:r>
        <w:rPr>
          <w:szCs w:val="24"/>
          <w:lang w:eastAsia="lt-LT"/>
        </w:rPr>
        <w:t>išlaikymą Joniškio rajono savivaldybės švietimo įstaigose tvarkos aprašą (pridedama)</w:t>
      </w:r>
      <w:r>
        <w:rPr>
          <w:smallCaps/>
          <w:spacing w:val="-1"/>
          <w:szCs w:val="24"/>
          <w:lang w:eastAsia="lt-LT"/>
        </w:rPr>
        <w:t>.</w:t>
      </w:r>
      <w:r>
        <w:rPr>
          <w:spacing w:val="-1"/>
          <w:szCs w:val="24"/>
          <w:lang w:eastAsia="lt-LT"/>
        </w:rPr>
        <w:t xml:space="preserve"> </w:t>
      </w:r>
    </w:p>
    <w:p w:rsidR="00E96607" w:rsidRDefault="00554DB6">
      <w:pPr>
        <w:shd w:val="clear" w:color="auto" w:fill="FFFFFF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Pripažinti netekusiu galios Joniškio rajono savivaldybės tarybos 2009 m. liepos 16 d. sprendimą Nr. T-180 „Dėl užmokesčio už vaikų išlaikymą ikimokyklinėse įstaigose“</w:t>
      </w:r>
      <w:r>
        <w:rPr>
          <w:szCs w:val="24"/>
          <w:lang w:eastAsia="lt-LT"/>
        </w:rPr>
        <w:t xml:space="preserve"> su visais pakeitimais ir papildymais. </w:t>
      </w:r>
    </w:p>
    <w:p w:rsidR="00E96607" w:rsidRDefault="00554DB6">
      <w:pPr>
        <w:shd w:val="clear" w:color="auto" w:fill="FFFFFF"/>
        <w:ind w:firstLine="709"/>
        <w:jc w:val="both"/>
        <w:rPr>
          <w:b/>
          <w:lang w:eastAsia="lt-LT"/>
        </w:rPr>
      </w:pPr>
      <w:r>
        <w:rPr>
          <w:szCs w:val="24"/>
          <w:lang w:eastAsia="lt-LT"/>
        </w:rPr>
        <w:t xml:space="preserve">3. Nustatyti, kad šis sprendimas įsigalioja nuo 2019 m. rugsėjo 2 d. </w:t>
      </w:r>
    </w:p>
    <w:p w:rsidR="00E96607" w:rsidRDefault="00E96607"/>
    <w:p w:rsidR="00E96607" w:rsidRDefault="00E96607"/>
    <w:p w:rsidR="00E96607" w:rsidRDefault="00E96607"/>
    <w:p w:rsidR="00E96607" w:rsidRDefault="00554DB6">
      <w:r>
        <w:rPr>
          <w:szCs w:val="22"/>
          <w:lang w:eastAsia="lt-LT"/>
        </w:rPr>
        <w:t>Savivaldybės meras</w:t>
      </w:r>
      <w:r>
        <w:rPr>
          <w:szCs w:val="22"/>
          <w:lang w:eastAsia="lt-LT"/>
        </w:rPr>
        <w:tab/>
      </w:r>
      <w:r>
        <w:rPr>
          <w:szCs w:val="22"/>
          <w:lang w:eastAsia="lt-LT"/>
        </w:rPr>
        <w:tab/>
      </w:r>
      <w:r>
        <w:rPr>
          <w:szCs w:val="22"/>
          <w:lang w:eastAsia="lt-LT"/>
        </w:rPr>
        <w:tab/>
      </w:r>
      <w:r>
        <w:rPr>
          <w:szCs w:val="22"/>
          <w:lang w:eastAsia="lt-LT"/>
        </w:rPr>
        <w:tab/>
      </w:r>
      <w:r>
        <w:rPr>
          <w:szCs w:val="22"/>
          <w:lang w:eastAsia="lt-LT"/>
        </w:rPr>
        <w:tab/>
      </w:r>
      <w:r>
        <w:rPr>
          <w:szCs w:val="22"/>
          <w:lang w:eastAsia="lt-LT"/>
        </w:rPr>
        <w:tab/>
      </w:r>
      <w:r>
        <w:rPr>
          <w:szCs w:val="22"/>
          <w:lang w:eastAsia="lt-LT"/>
        </w:rPr>
        <w:tab/>
      </w:r>
      <w:r>
        <w:rPr>
          <w:szCs w:val="22"/>
          <w:lang w:eastAsia="lt-LT"/>
        </w:rPr>
        <w:tab/>
        <w:t>Vitalijus Gailius</w:t>
      </w:r>
    </w:p>
    <w:p w:rsidR="00E96607" w:rsidRDefault="00E96607">
      <w:pPr>
        <w:ind w:left="4962" w:firstLine="141"/>
        <w:sectPr w:rsidR="00E966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992" w:footer="794" w:gutter="0"/>
          <w:cols w:space="1296"/>
          <w:titlePg/>
          <w:docGrid w:linePitch="360"/>
        </w:sectPr>
      </w:pPr>
    </w:p>
    <w:p w:rsidR="00E96607" w:rsidRDefault="00554DB6">
      <w:pPr>
        <w:ind w:left="4962" w:firstLine="141"/>
        <w:rPr>
          <w:szCs w:val="24"/>
        </w:rPr>
      </w:pPr>
      <w:r>
        <w:rPr>
          <w:szCs w:val="24"/>
        </w:rPr>
        <w:lastRenderedPageBreak/>
        <w:t>PATVIRTINTA</w:t>
      </w:r>
    </w:p>
    <w:p w:rsidR="00E96607" w:rsidRDefault="00554DB6">
      <w:pPr>
        <w:ind w:left="4962" w:firstLine="141"/>
        <w:rPr>
          <w:szCs w:val="24"/>
        </w:rPr>
      </w:pPr>
      <w:r>
        <w:rPr>
          <w:szCs w:val="24"/>
        </w:rPr>
        <w:t xml:space="preserve">Joniškio rajono </w:t>
      </w:r>
      <w:r>
        <w:rPr>
          <w:szCs w:val="24"/>
        </w:rPr>
        <w:t>savivaldybės tarybos</w:t>
      </w:r>
    </w:p>
    <w:p w:rsidR="00E96607" w:rsidRDefault="00554DB6">
      <w:pPr>
        <w:ind w:left="4962" w:firstLine="141"/>
        <w:rPr>
          <w:szCs w:val="24"/>
        </w:rPr>
      </w:pPr>
      <w:r>
        <w:rPr>
          <w:szCs w:val="24"/>
        </w:rPr>
        <w:t xml:space="preserve">2019 m. rugpjūčio 29 d. sprendimu Nr. T-183 </w:t>
      </w:r>
    </w:p>
    <w:p w:rsidR="00E96607" w:rsidRDefault="00E96607">
      <w:pPr>
        <w:shd w:val="clear" w:color="auto" w:fill="FFFFFF"/>
        <w:spacing w:line="274" w:lineRule="exact"/>
        <w:ind w:left="5170"/>
        <w:jc w:val="center"/>
        <w:rPr>
          <w:rFonts w:cs="Calibri"/>
          <w:spacing w:val="-2"/>
          <w:szCs w:val="24"/>
        </w:rPr>
      </w:pPr>
    </w:p>
    <w:p w:rsidR="00E96607" w:rsidRDefault="00E96607">
      <w:pPr>
        <w:shd w:val="clear" w:color="auto" w:fill="FFFFFF"/>
        <w:spacing w:line="274" w:lineRule="exact"/>
        <w:ind w:left="5170"/>
        <w:jc w:val="center"/>
        <w:rPr>
          <w:spacing w:val="-2"/>
          <w:szCs w:val="24"/>
        </w:rPr>
      </w:pPr>
    </w:p>
    <w:p w:rsidR="00E96607" w:rsidRDefault="00554DB6">
      <w:pPr>
        <w:shd w:val="clear" w:color="auto" w:fill="FFFFFF"/>
        <w:ind w:left="5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MOKESČIO UŽ VAIKŲ, UGDOMŲ PAGAL IKIMOKYKLINIO IR PRIEŠMOKYKLINIO UGDYMO PROGRAMAS, IŠLAIKYMĄ JONIŠKIO RAJONO SAVIVALDYBĖS ŠVIETIMO ĮSTAIGOSE  </w:t>
      </w:r>
    </w:p>
    <w:p w:rsidR="00E96607" w:rsidRDefault="00554DB6">
      <w:pPr>
        <w:shd w:val="clear" w:color="auto" w:fill="FFFFFF"/>
        <w:ind w:left="50"/>
        <w:jc w:val="center"/>
        <w:rPr>
          <w:b/>
          <w:bCs/>
          <w:spacing w:val="-1"/>
          <w:szCs w:val="24"/>
        </w:rPr>
      </w:pPr>
      <w:bookmarkStart w:id="0" w:name="_GoBack"/>
      <w:bookmarkEnd w:id="0"/>
      <w:r>
        <w:rPr>
          <w:b/>
          <w:bCs/>
          <w:spacing w:val="-1"/>
          <w:szCs w:val="24"/>
        </w:rPr>
        <w:t>TVARKOS APRAŠAS</w:t>
      </w:r>
    </w:p>
    <w:p w:rsidR="00E96607" w:rsidRDefault="00E96607">
      <w:pPr>
        <w:shd w:val="clear" w:color="auto" w:fill="FFFFFF"/>
        <w:ind w:left="50"/>
        <w:jc w:val="center"/>
        <w:rPr>
          <w:b/>
          <w:bCs/>
          <w:spacing w:val="-1"/>
          <w:szCs w:val="24"/>
        </w:rPr>
      </w:pPr>
    </w:p>
    <w:p w:rsidR="00E96607" w:rsidRDefault="00554DB6">
      <w:pPr>
        <w:shd w:val="clear" w:color="auto" w:fill="FFFFFF"/>
        <w:ind w:left="58"/>
        <w:jc w:val="center"/>
        <w:rPr>
          <w:b/>
          <w:bCs/>
          <w:spacing w:val="-1"/>
          <w:szCs w:val="24"/>
        </w:rPr>
      </w:pPr>
      <w:r>
        <w:rPr>
          <w:b/>
          <w:bCs/>
          <w:spacing w:val="-1"/>
          <w:szCs w:val="24"/>
        </w:rPr>
        <w:t>I SKYRIUS</w:t>
      </w:r>
    </w:p>
    <w:p w:rsidR="00E96607" w:rsidRDefault="00554DB6">
      <w:pPr>
        <w:shd w:val="clear" w:color="auto" w:fill="FFFFFF"/>
        <w:ind w:left="58"/>
        <w:jc w:val="center"/>
        <w:rPr>
          <w:b/>
          <w:bCs/>
          <w:spacing w:val="-1"/>
          <w:szCs w:val="24"/>
        </w:rPr>
      </w:pPr>
      <w:r>
        <w:rPr>
          <w:b/>
          <w:bCs/>
          <w:spacing w:val="-1"/>
          <w:szCs w:val="24"/>
        </w:rPr>
        <w:t xml:space="preserve">BENDROSIOS </w:t>
      </w:r>
      <w:r>
        <w:rPr>
          <w:b/>
          <w:bCs/>
          <w:spacing w:val="-1"/>
          <w:szCs w:val="24"/>
        </w:rPr>
        <w:t>NUOSTATOS</w:t>
      </w:r>
    </w:p>
    <w:p w:rsidR="00E96607" w:rsidRDefault="00E96607">
      <w:pPr>
        <w:rPr>
          <w:szCs w:val="24"/>
        </w:rPr>
      </w:pPr>
    </w:p>
    <w:p w:rsidR="00E96607" w:rsidRDefault="00554DB6">
      <w:pPr>
        <w:shd w:val="clear" w:color="auto" w:fill="FFFFFF"/>
        <w:tabs>
          <w:tab w:val="left" w:pos="284"/>
          <w:tab w:val="left" w:pos="851"/>
          <w:tab w:val="left" w:pos="1134"/>
        </w:tabs>
        <w:spacing w:line="274" w:lineRule="exact"/>
        <w:ind w:right="86" w:firstLine="709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Mokesčio už vaikų, ugdomų pagal ikimokyklinio ir priešmokyklinio ugdymo programas, išlaikymą Joniškio rajono savivaldybės švietimo įstaigose nustatymo tvarkos aprašas (toliau –  Aprašas) reglamentuoja mokesčio už ikimokyklinio ir priešmokykli</w:t>
      </w:r>
      <w:r>
        <w:rPr>
          <w:szCs w:val="24"/>
        </w:rPr>
        <w:t xml:space="preserve">nio amžiaus vaikų išlaikymą Joniškio rajono savivaldybės švietimo įstaigose dydį ir mokesčio lengvatas. </w:t>
      </w:r>
    </w:p>
    <w:p w:rsidR="00E96607" w:rsidRDefault="00554DB6">
      <w:pPr>
        <w:shd w:val="clear" w:color="auto" w:fill="FFFFFF"/>
        <w:tabs>
          <w:tab w:val="left" w:pos="284"/>
          <w:tab w:val="left" w:pos="992"/>
          <w:tab w:val="left" w:pos="1134"/>
        </w:tabs>
        <w:spacing w:line="274" w:lineRule="exact"/>
        <w:ind w:right="108" w:firstLine="709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Mokestį už vaiko išlaikymą moka tėvai (globėjai).</w:t>
      </w:r>
    </w:p>
    <w:p w:rsidR="00E96607" w:rsidRDefault="00554DB6">
      <w:pPr>
        <w:shd w:val="clear" w:color="auto" w:fill="FFFFFF"/>
        <w:tabs>
          <w:tab w:val="left" w:pos="284"/>
          <w:tab w:val="left" w:pos="992"/>
          <w:tab w:val="left" w:pos="1134"/>
        </w:tabs>
        <w:spacing w:line="274" w:lineRule="exact"/>
        <w:ind w:right="79" w:firstLine="709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Mokestis už vaiko išlaikymą susideda iš mokesčio už vaiko maitinimą (toliau – mokestis už </w:t>
      </w:r>
      <w:r>
        <w:rPr>
          <w:szCs w:val="24"/>
        </w:rPr>
        <w:t>maitinimą) ir mėnesinio mokesčio ugdymo ir kitoms reikmėms tenkinti (toliau – ugdymo mokestis). Mokestis už vaiko išlaikymą apskaičiuojamas padauginus vienos dienos mokesčio už maitinimą įkainį iš lankytų dienų skaičiaus</w:t>
      </w:r>
      <w:r>
        <w:rPr>
          <w:rFonts w:cs="Arial Unicode MS"/>
          <w:szCs w:val="24"/>
        </w:rPr>
        <w:t xml:space="preserve"> ir pridėjus </w:t>
      </w:r>
      <w:r>
        <w:rPr>
          <w:szCs w:val="24"/>
        </w:rPr>
        <w:t>mėnesinį ugdymo mokestį</w:t>
      </w:r>
      <w:r>
        <w:rPr>
          <w:szCs w:val="24"/>
        </w:rPr>
        <w:t>.</w:t>
      </w:r>
    </w:p>
    <w:p w:rsidR="00E96607" w:rsidRDefault="00E96607">
      <w:pPr>
        <w:shd w:val="clear" w:color="auto" w:fill="FFFFFF"/>
        <w:tabs>
          <w:tab w:val="left" w:pos="1102"/>
        </w:tabs>
        <w:ind w:right="101" w:firstLine="851"/>
        <w:jc w:val="both"/>
        <w:rPr>
          <w:szCs w:val="24"/>
        </w:rPr>
      </w:pPr>
    </w:p>
    <w:p w:rsidR="00E96607" w:rsidRDefault="00554DB6">
      <w:pPr>
        <w:shd w:val="clear" w:color="auto" w:fill="FFFFFF"/>
        <w:jc w:val="center"/>
        <w:rPr>
          <w:b/>
          <w:bCs/>
          <w:szCs w:val="24"/>
        </w:rPr>
      </w:pPr>
      <w:r>
        <w:rPr>
          <w:b/>
          <w:bCs/>
          <w:szCs w:val="24"/>
        </w:rPr>
        <w:t>II SKYRIUS</w:t>
      </w:r>
    </w:p>
    <w:p w:rsidR="00E96607" w:rsidRDefault="00554DB6">
      <w:pPr>
        <w:shd w:val="clear" w:color="auto" w:fill="FFFFFF"/>
        <w:ind w:left="50"/>
        <w:jc w:val="center"/>
        <w:rPr>
          <w:b/>
          <w:bCs/>
          <w:szCs w:val="24"/>
        </w:rPr>
      </w:pPr>
      <w:r>
        <w:rPr>
          <w:b/>
          <w:bCs/>
          <w:szCs w:val="24"/>
        </w:rPr>
        <w:t>MOKESČIO DYDIS UŽ VAIKO MAITINIMĄ IR MOKESČIO TAIKYMO LENGVATOS</w:t>
      </w:r>
    </w:p>
    <w:p w:rsidR="00E96607" w:rsidRDefault="00E96607">
      <w:pPr>
        <w:shd w:val="clear" w:color="auto" w:fill="FFFFFF"/>
        <w:ind w:left="50" w:firstLine="851"/>
        <w:jc w:val="center"/>
        <w:rPr>
          <w:bCs/>
          <w:szCs w:val="24"/>
        </w:rPr>
      </w:pPr>
    </w:p>
    <w:p w:rsidR="00E96607" w:rsidRDefault="00554DB6">
      <w:pPr>
        <w:shd w:val="clear" w:color="auto" w:fill="FFFFFF"/>
        <w:tabs>
          <w:tab w:val="left" w:pos="0"/>
          <w:tab w:val="left" w:pos="284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 xml:space="preserve">Mokesčio už maitinimą dydis per dieną: </w:t>
      </w:r>
    </w:p>
    <w:p w:rsidR="00E96607" w:rsidRDefault="00554DB6">
      <w:pPr>
        <w:ind w:firstLine="709"/>
        <w:jc w:val="both"/>
        <w:rPr>
          <w:szCs w:val="24"/>
        </w:rPr>
      </w:pPr>
      <w:r>
        <w:rPr>
          <w:lang w:eastAsia="lt-LT"/>
        </w:rPr>
        <w:t>4.1. ankstyvojo ikimokyklinio ugdymo grupės – 2,30 Eur;</w:t>
      </w:r>
      <w:r>
        <w:t xml:space="preserve"> 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T-61</w:t>
        </w:r>
      </w:hyperlink>
      <w:r>
        <w:rPr>
          <w:rFonts w:eastAsia="MS Mincho"/>
          <w:i/>
          <w:iCs/>
          <w:sz w:val="20"/>
        </w:rPr>
        <w:t>, 2021-04-29, paskelbta TAR 2021-05-04, i. k. 2021-09599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T-157</w:t>
        </w:r>
      </w:hyperlink>
      <w:r>
        <w:rPr>
          <w:rFonts w:eastAsia="MS Mincho"/>
          <w:i/>
          <w:iCs/>
          <w:sz w:val="20"/>
        </w:rPr>
        <w:t>, 2022-08-31, paskelbta TAR 2022-08-31, i</w:t>
      </w:r>
      <w:r>
        <w:rPr>
          <w:rFonts w:eastAsia="MS Mincho"/>
          <w:i/>
          <w:iCs/>
          <w:sz w:val="20"/>
        </w:rPr>
        <w:t>. k. 2022-18051</w:t>
      </w:r>
    </w:p>
    <w:p w:rsidR="00E96607" w:rsidRDefault="00E96607"/>
    <w:p w:rsidR="00E96607" w:rsidRDefault="00554DB6">
      <w:pPr>
        <w:ind w:firstLine="709"/>
        <w:jc w:val="both"/>
        <w:rPr>
          <w:sz w:val="20"/>
        </w:rPr>
      </w:pPr>
      <w:r>
        <w:rPr>
          <w:lang w:eastAsia="lt-LT"/>
        </w:rPr>
        <w:t>4.2. ikimokyklinio ugdymo grupės ir priešmokyklinės ugdymo grupės – 2,50 Eur. Priešmokyklinio ugdymo mokiniams  iš Joniškio rajono savivaldybės biudžeto lėšų kompensuojama pietų kaina Joniškio rajono savivaldybės administracijos direktoria</w:t>
      </w:r>
      <w:r>
        <w:rPr>
          <w:lang w:eastAsia="lt-LT"/>
        </w:rPr>
        <w:t>us įsakymu nustatytu mokinių nemokamo maitinimo, skirto priešmokyklinio ugdymo mokinių pietums, dydžiu;</w:t>
      </w:r>
      <w:r>
        <w:t xml:space="preserve"> 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T-25</w:t>
        </w:r>
      </w:hyperlink>
      <w:r>
        <w:rPr>
          <w:rFonts w:eastAsia="MS Mincho"/>
          <w:i/>
          <w:iCs/>
          <w:sz w:val="20"/>
        </w:rPr>
        <w:t>, 2020-02-20, paskelbta</w:t>
      </w:r>
      <w:r>
        <w:rPr>
          <w:rFonts w:eastAsia="MS Mincho"/>
          <w:i/>
          <w:iCs/>
          <w:sz w:val="20"/>
        </w:rPr>
        <w:t xml:space="preserve"> TAR 2020-02-24, i. k. 2020-03916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T-61</w:t>
        </w:r>
      </w:hyperlink>
      <w:r>
        <w:rPr>
          <w:rFonts w:eastAsia="MS Mincho"/>
          <w:i/>
          <w:iCs/>
          <w:sz w:val="20"/>
        </w:rPr>
        <w:t>, 2021-04-29, paskelbta TAR 2021-05-04, i. k. 2021-09599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T-157</w:t>
        </w:r>
      </w:hyperlink>
      <w:r>
        <w:rPr>
          <w:rFonts w:eastAsia="MS Mincho"/>
          <w:i/>
          <w:iCs/>
          <w:sz w:val="20"/>
        </w:rPr>
        <w:t>, 2022-08-31, paskelbta TAR 2022-08-31, i. k. 2022-18051</w:t>
      </w:r>
    </w:p>
    <w:p w:rsidR="00E96607" w:rsidRDefault="00E96607"/>
    <w:p w:rsidR="00E96607" w:rsidRDefault="00554DB6">
      <w:pPr>
        <w:ind w:firstLine="709"/>
        <w:jc w:val="both"/>
        <w:rPr>
          <w:szCs w:val="24"/>
        </w:rPr>
      </w:pPr>
      <w:r>
        <w:rPr>
          <w:lang w:eastAsia="lt-LT"/>
        </w:rPr>
        <w:t>4.3. savaitinės grupės – 2,70 Eur.</w:t>
      </w:r>
      <w:r>
        <w:t xml:space="preserve"> 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T-157</w:t>
        </w:r>
      </w:hyperlink>
      <w:r>
        <w:rPr>
          <w:rFonts w:eastAsia="MS Mincho"/>
          <w:i/>
          <w:iCs/>
          <w:sz w:val="20"/>
        </w:rPr>
        <w:t>, 2022-08-31, paskelbta TAR 2022-08-31, i. k. 2022-18051</w:t>
      </w:r>
    </w:p>
    <w:p w:rsidR="00E96607" w:rsidRDefault="00E96607"/>
    <w:p w:rsidR="00E96607" w:rsidRDefault="00554DB6">
      <w:pPr>
        <w:shd w:val="clear" w:color="auto" w:fill="FFFFFF"/>
        <w:tabs>
          <w:tab w:val="left" w:pos="0"/>
          <w:tab w:val="left" w:pos="284"/>
          <w:tab w:val="left" w:pos="1134"/>
        </w:tabs>
        <w:ind w:firstLine="709"/>
        <w:jc w:val="both"/>
        <w:rPr>
          <w:szCs w:val="24"/>
        </w:rPr>
      </w:pPr>
      <w:r>
        <w:rPr>
          <w:szCs w:val="24"/>
          <w:lang w:eastAsia="lt-LT"/>
        </w:rPr>
        <w:t>5. Mokestis už maitinimą  nemokamas, jeigu vaikas nelanko švietimo įstaigos.</w:t>
      </w:r>
    </w:p>
    <w:p w:rsidR="00E96607" w:rsidRDefault="00554DB6">
      <w:pPr>
        <w:ind w:firstLine="709"/>
        <w:jc w:val="both"/>
        <w:rPr>
          <w:szCs w:val="24"/>
        </w:rPr>
      </w:pPr>
      <w:r>
        <w:rPr>
          <w:lang w:eastAsia="lt-LT"/>
        </w:rPr>
        <w:t>5</w:t>
      </w:r>
      <w:r>
        <w:rPr>
          <w:vertAlign w:val="superscript"/>
          <w:lang w:eastAsia="lt-LT"/>
        </w:rPr>
        <w:t>1</w:t>
      </w:r>
      <w:r>
        <w:rPr>
          <w:lang w:eastAsia="lt-LT"/>
        </w:rPr>
        <w:t>. Užsieniečių, pasitraukusių iš Ukrainos dėl Rusijos Federacijos karinių veiksmų Ukrainoje, vaikų, ugdom</w:t>
      </w:r>
      <w:r>
        <w:rPr>
          <w:lang w:eastAsia="lt-LT"/>
        </w:rPr>
        <w:t xml:space="preserve">ų Joniškio rajono savivaldybės švietimo įstaigose pagal ikimokyklinio ir priešmokyklinio ugdymo programas, tėvai (globėjai, rūpintojai) nemoka už maitinimą, kol nėra įgiję teisės gauti </w:t>
      </w:r>
      <w:r>
        <w:rPr>
          <w:szCs w:val="24"/>
          <w:lang w:eastAsia="lt-LT"/>
        </w:rPr>
        <w:t>mėnesinę kompensaciją vaiko ugdymo pagal ikimokyklinio ar priešmokyklin</w:t>
      </w:r>
      <w:r>
        <w:rPr>
          <w:szCs w:val="24"/>
          <w:lang w:eastAsia="lt-LT"/>
        </w:rPr>
        <w:t>io ugdymo programą išlaidoms apmokėti.</w:t>
      </w:r>
      <w:r>
        <w:t xml:space="preserve"> 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T-54</w:t>
        </w:r>
      </w:hyperlink>
      <w:r>
        <w:rPr>
          <w:rFonts w:eastAsia="MS Mincho"/>
          <w:i/>
          <w:iCs/>
          <w:sz w:val="20"/>
        </w:rPr>
        <w:t>, 2022-03-31, paskelbta TAR 2022-04-04, i. k. 2022-06873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lastRenderedPageBreak/>
        <w:t>Punkto pakeitimai: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T-130</w:t>
        </w:r>
      </w:hyperlink>
      <w:r>
        <w:rPr>
          <w:rFonts w:eastAsia="MS Mincho"/>
          <w:i/>
          <w:iCs/>
          <w:sz w:val="20"/>
        </w:rPr>
        <w:t>, 2022-05-26, paskelbta TAR 2022-05-26, i. k. 2022-11070</w:t>
      </w:r>
    </w:p>
    <w:p w:rsidR="00E96607" w:rsidRDefault="00E96607"/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Tėvai (globėjai), kurie gauna socialinę pašalpą, už vaikų maitinimą moka 50 procentų nustatytos maitinim</w:t>
      </w:r>
      <w:r>
        <w:rPr>
          <w:szCs w:val="24"/>
          <w:lang w:eastAsia="lt-LT"/>
        </w:rPr>
        <w:t xml:space="preserve">o kainos, o už liepos ir rugpjūčio mėnesius – 100 proc. </w:t>
      </w: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rFonts w:eastAsia="Calibri"/>
          <w:szCs w:val="22"/>
        </w:rPr>
        <w:t>7. Tėvams pateikus prašymą (esant reikalui ugdymo įstaiga turi teisę paprašyti pateikti patvirtinančius dokumentus), mokestis už maitinimą švietimo įstaigoje mažinamas 50 procentų, jeigu:</w:t>
      </w:r>
      <w:r>
        <w:t xml:space="preserve"> 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Punkto </w:t>
      </w:r>
      <w:r>
        <w:rPr>
          <w:rFonts w:eastAsia="MS Mincho"/>
          <w:i/>
          <w:iCs/>
          <w:sz w:val="20"/>
        </w:rPr>
        <w:t>pakeitimai: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T-61</w:t>
        </w:r>
      </w:hyperlink>
      <w:r>
        <w:rPr>
          <w:rFonts w:eastAsia="MS Mincho"/>
          <w:i/>
          <w:iCs/>
          <w:sz w:val="20"/>
        </w:rPr>
        <w:t>, 2021-04-29, paskelbta TAR 2021-05-04, i. k. 2021-09599</w:t>
      </w: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7.1. vaikas (vaikai) turi tik vieną iš tėvų:</w:t>
      </w: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7.1.1. vienas iš tėvų miręs;</w:t>
      </w: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7.1.2. </w:t>
      </w:r>
      <w:r>
        <w:rPr>
          <w:szCs w:val="24"/>
          <w:lang w:eastAsia="lt-LT"/>
        </w:rPr>
        <w:t>vienas iš tėvų dingęs be žinios ir paskelbta jo paieška (pagal pateisinamą dokumentą);</w:t>
      </w: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7.1.3. vienas iš tėvų atlieka bausmę;</w:t>
      </w:r>
    </w:p>
    <w:p w:rsidR="00E96607" w:rsidRDefault="00554DB6">
      <w:pPr>
        <w:ind w:firstLine="720"/>
        <w:jc w:val="both"/>
        <w:rPr>
          <w:szCs w:val="24"/>
          <w:lang w:eastAsia="lt-LT"/>
        </w:rPr>
      </w:pPr>
      <w:r>
        <w:rPr>
          <w:rFonts w:eastAsia="Calibri"/>
          <w:szCs w:val="22"/>
        </w:rPr>
        <w:t>7.1.4. vienam iš tėvų laikinai arba neterminuotai apribota tėvų valdžia;</w:t>
      </w:r>
      <w:r>
        <w:t xml:space="preserve"> 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T-61</w:t>
        </w:r>
      </w:hyperlink>
      <w:r>
        <w:rPr>
          <w:rFonts w:eastAsia="MS Mincho"/>
          <w:i/>
          <w:iCs/>
          <w:sz w:val="20"/>
        </w:rPr>
        <w:t>, 2021-04-29, paskelbta TAR 2021-05-04, i. k. 2021-09599</w:t>
      </w:r>
    </w:p>
    <w:p w:rsidR="00E96607" w:rsidRDefault="00E96607"/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7.2. vienas iš tėvų tarnauja profesinėje karo tarnyboje;</w:t>
      </w: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7.3. vaikas (vaikai) auga moksleivių ar s</w:t>
      </w:r>
      <w:r>
        <w:rPr>
          <w:szCs w:val="24"/>
          <w:lang w:eastAsia="lt-LT"/>
        </w:rPr>
        <w:t>tudentų šeimoje, kurioje vienas iš tėvų mokosi mokymo įstaigos dieniniame skyriuje;</w:t>
      </w: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7.4. šeima augina 3 ir daugiau vaikų (iki 18 metų ir daugiau kaip 18 metų, jeigu mokosi dieninėse visų tipų mokyklose arba turi neįgalumą);</w:t>
      </w: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7.5. ikimokyklinio ar priešmokyk</w:t>
      </w:r>
      <w:r>
        <w:rPr>
          <w:szCs w:val="24"/>
          <w:lang w:eastAsia="lt-LT"/>
        </w:rPr>
        <w:t>linio ugdymo grupes  lanko du ir daugiau vaikų iš tos pačios šeimos (vienam vaikui);</w:t>
      </w: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7.6. jeigu vaikui nustatytas neįgalumas. </w:t>
      </w: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 Prašymas dėl mokesčio už maitinimą lengvatų pateikiamas vaikui pradėjus lankyti švietimo įstaigą, o vėliau – vieną kartą per m</w:t>
      </w:r>
      <w:r>
        <w:rPr>
          <w:szCs w:val="24"/>
          <w:lang w:eastAsia="lt-LT"/>
        </w:rPr>
        <w:t>etus iki rugsėjo 30 d. Laiku nepateikus prašymo gauti lengvatą, mokestis už maitinimą imamas bendra tvarka, o pateikus dokumentus, naujas mokestis už maitinimą nustatomas nuo kito mėnesio 1 dienos. Pristačius pažymą apie socialinę pašalpą, mokestis už mait</w:t>
      </w:r>
      <w:r>
        <w:rPr>
          <w:szCs w:val="24"/>
          <w:lang w:eastAsia="lt-LT"/>
        </w:rPr>
        <w:t xml:space="preserve">inimą  perskaičiuojamas nuo pažymoje nurodytos datos. </w:t>
      </w: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9. </w:t>
      </w:r>
      <w:r>
        <w:rPr>
          <w:szCs w:val="24"/>
        </w:rPr>
        <w:t xml:space="preserve">Du mėnesius nesumokėjus mokesčio už maitinimą, lengvata nebetaikoma.  </w:t>
      </w:r>
    </w:p>
    <w:p w:rsidR="00E96607" w:rsidRDefault="00E96607">
      <w:pPr>
        <w:shd w:val="clear" w:color="auto" w:fill="FFFFFF"/>
        <w:spacing w:line="274" w:lineRule="exact"/>
        <w:ind w:right="14" w:firstLine="851"/>
        <w:jc w:val="center"/>
        <w:rPr>
          <w:color w:val="FF0000"/>
          <w:szCs w:val="24"/>
        </w:rPr>
      </w:pPr>
    </w:p>
    <w:p w:rsidR="00E96607" w:rsidRDefault="00554DB6">
      <w:pPr>
        <w:shd w:val="clear" w:color="auto" w:fill="FFFFFF"/>
        <w:spacing w:line="274" w:lineRule="exact"/>
        <w:ind w:right="14"/>
        <w:jc w:val="center"/>
        <w:rPr>
          <w:b/>
          <w:bCs/>
          <w:szCs w:val="24"/>
        </w:rPr>
      </w:pPr>
      <w:r>
        <w:rPr>
          <w:b/>
          <w:bCs/>
          <w:szCs w:val="24"/>
        </w:rPr>
        <w:t>III SKYRIUS</w:t>
      </w:r>
    </w:p>
    <w:p w:rsidR="00E96607" w:rsidRDefault="00554DB6">
      <w:pPr>
        <w:shd w:val="clear" w:color="auto" w:fill="FFFFFF"/>
        <w:jc w:val="center"/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 xml:space="preserve">UGDYMO MOKESTIS </w:t>
      </w:r>
      <w:r>
        <w:rPr>
          <w:b/>
          <w:bCs/>
          <w:szCs w:val="24"/>
        </w:rPr>
        <w:t>IR MOKESČIO TAIKYMO LENGVATOS</w:t>
      </w:r>
    </w:p>
    <w:p w:rsidR="00E96607" w:rsidRDefault="00E96607">
      <w:pPr>
        <w:ind w:firstLine="62"/>
        <w:jc w:val="center"/>
        <w:rPr>
          <w:b/>
          <w:bCs/>
          <w:szCs w:val="24"/>
          <w:lang w:eastAsia="lt-LT"/>
        </w:rPr>
      </w:pP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lang w:eastAsia="lt-LT"/>
        </w:rPr>
        <w:t xml:space="preserve">10. Ugdymo mokesčio dydis per mėnesį – 9 Eur (ugdymo inventoriui, </w:t>
      </w:r>
      <w:r>
        <w:rPr>
          <w:lang w:eastAsia="lt-LT"/>
        </w:rPr>
        <w:t>priemonėms įsigyti), šis mokestis nerenkamas, jei įstaiga nevykdo veiklos, ugdytinis nelankė ugdymo įstaigos visą mėnesį arba paskelbtas karantinas, epidemija, stichinė nelaimė ir ugdymo procesas organizuojamas nuotoliniu būdu.</w:t>
      </w:r>
      <w:r>
        <w:t xml:space="preserve"> 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T-61</w:t>
        </w:r>
      </w:hyperlink>
      <w:r>
        <w:rPr>
          <w:rFonts w:eastAsia="MS Mincho"/>
          <w:i/>
          <w:iCs/>
          <w:sz w:val="20"/>
        </w:rPr>
        <w:t>, 2021-04-29, paskelbta TAR 2021-05-04, i. k. 2021-09599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T-157</w:t>
        </w:r>
      </w:hyperlink>
      <w:r>
        <w:rPr>
          <w:rFonts w:eastAsia="MS Mincho"/>
          <w:i/>
          <w:iCs/>
          <w:sz w:val="20"/>
        </w:rPr>
        <w:t>, 2022-08-31, paskelbta TAR 2022-08-31, i. k. 2022-18051</w:t>
      </w:r>
    </w:p>
    <w:p w:rsidR="00E96607" w:rsidRDefault="00E96607"/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lang w:eastAsia="lt-LT"/>
        </w:rPr>
        <w:t>10</w:t>
      </w:r>
      <w:r>
        <w:rPr>
          <w:vertAlign w:val="superscript"/>
          <w:lang w:eastAsia="lt-LT"/>
        </w:rPr>
        <w:t>1</w:t>
      </w:r>
      <w:r>
        <w:rPr>
          <w:lang w:eastAsia="lt-LT"/>
        </w:rPr>
        <w:t>. Užsieniečių, pasitraukusių iš Ukrainos dėl Rusijos Federacijos karinių veiksmų Ukrainoje, vaikų, ugdomų Joniškio rajono savivaldybės švietimo įstaigose pagal ikimokyklinio ir priešmokyklinio ugdymo programas, tėvai (globėjai, rūpintojai) nemoka ugdymo mo</w:t>
      </w:r>
      <w:r>
        <w:rPr>
          <w:lang w:eastAsia="lt-LT"/>
        </w:rPr>
        <w:t xml:space="preserve">kesčio, kol nėra įgiję teisės gauti </w:t>
      </w:r>
      <w:r>
        <w:rPr>
          <w:szCs w:val="24"/>
          <w:lang w:eastAsia="lt-LT"/>
        </w:rPr>
        <w:t>mėnesinę kompensaciją vaiko ugdymo pagal ikimokyklinio ar priešmokyklinio ugdymo programą išlaidoms apmokėti.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T-54</w:t>
        </w:r>
      </w:hyperlink>
      <w:r>
        <w:rPr>
          <w:rFonts w:eastAsia="MS Mincho"/>
          <w:i/>
          <w:iCs/>
          <w:sz w:val="20"/>
        </w:rPr>
        <w:t>, 2022-03-31, paskelbta TAR 2022-04-04, i. k. 2022-06873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T-130</w:t>
        </w:r>
      </w:hyperlink>
      <w:r>
        <w:rPr>
          <w:rFonts w:eastAsia="MS Mincho"/>
          <w:i/>
          <w:iCs/>
          <w:sz w:val="20"/>
        </w:rPr>
        <w:t>, 2022-05-26, paskelbta TAR 2022-05-26, i. k. 2022-11070</w:t>
      </w:r>
    </w:p>
    <w:p w:rsidR="00E96607" w:rsidRDefault="00E96607"/>
    <w:p w:rsidR="00E96607" w:rsidRDefault="00554DB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1. Ugdymo mokestis mokamas už visus švietimo įstaigas lankančius vaikus. Ugdymo mokesčio nemoka ikimokyklinio ar priešmokyklinio ugdymo grupes lankantys vaikai, kai veiklų trukmė grupėse per dieną – 4 valandos. </w:t>
      </w:r>
    </w:p>
    <w:p w:rsidR="00E96607" w:rsidRDefault="00554DB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</w:t>
      </w:r>
      <w:r>
        <w:rPr>
          <w:szCs w:val="24"/>
          <w:vertAlign w:val="superscript"/>
          <w:lang w:eastAsia="lt-LT"/>
        </w:rPr>
        <w:t>1</w:t>
      </w:r>
      <w:r>
        <w:rPr>
          <w:szCs w:val="24"/>
          <w:lang w:eastAsia="lt-LT"/>
        </w:rPr>
        <w:t>. Vaikų nuo 0 iki 1,5 metų trumpalaikės 4</w:t>
      </w:r>
      <w:r>
        <w:rPr>
          <w:szCs w:val="24"/>
          <w:lang w:eastAsia="lt-LT"/>
        </w:rPr>
        <w:t xml:space="preserve"> valandų per dieną priežiūros paslaugos mokestis – 16 Eur.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T-150</w:t>
        </w:r>
      </w:hyperlink>
      <w:r>
        <w:rPr>
          <w:rFonts w:eastAsia="MS Mincho"/>
          <w:i/>
          <w:iCs/>
          <w:sz w:val="20"/>
        </w:rPr>
        <w:t>, 2023-09-28, paskelbta TAR 2023-09-29, i. k. 2023-19053</w:t>
      </w:r>
    </w:p>
    <w:p w:rsidR="00E96607" w:rsidRDefault="00E96607"/>
    <w:p w:rsidR="00E96607" w:rsidRDefault="00554DB6">
      <w:pPr>
        <w:ind w:firstLine="720"/>
        <w:jc w:val="both"/>
        <w:rPr>
          <w:szCs w:val="24"/>
          <w:lang w:eastAsia="lt-LT"/>
        </w:rPr>
      </w:pPr>
      <w:r>
        <w:rPr>
          <w:rFonts w:eastAsia="Calibri"/>
          <w:szCs w:val="22"/>
        </w:rPr>
        <w:t>12. Ugdymo mok</w:t>
      </w:r>
      <w:r>
        <w:rPr>
          <w:rFonts w:eastAsia="Calibri"/>
          <w:szCs w:val="22"/>
        </w:rPr>
        <w:t>estis gali būti naudojamas įstaigos ugdymo priemonėms įsigyti, ugdymo aplinkai kurti ir atnaujinti, trumpalaikiam inventoriui ir ilgalaikiam turtui įsigyti.</w:t>
      </w:r>
      <w:r>
        <w:t xml:space="preserve"> 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T-61</w:t>
        </w:r>
      </w:hyperlink>
      <w:r>
        <w:rPr>
          <w:rFonts w:eastAsia="MS Mincho"/>
          <w:i/>
          <w:iCs/>
          <w:sz w:val="20"/>
        </w:rPr>
        <w:t>, 2021-04-29, paskelbta TAR 2021-05-04, i. k. 2021-09599</w:t>
      </w:r>
    </w:p>
    <w:p w:rsidR="00E96607" w:rsidRDefault="00E96607"/>
    <w:p w:rsidR="00E96607" w:rsidRDefault="00554DB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13. Surinktų ugdymo mokesčio lėšų apskaita teisės aktų nustatyta tvarka tvarkoma ir šios lėšos nau</w:t>
      </w:r>
      <w:r>
        <w:rPr>
          <w:szCs w:val="24"/>
          <w:lang w:eastAsia="lt-LT"/>
        </w:rPr>
        <w:t>dojamos pagal atskirą įstaigos vadovo patvirtintą sąmatą.</w:t>
      </w:r>
    </w:p>
    <w:p w:rsidR="00E96607" w:rsidRDefault="00554DB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 Apie ugdymo mokesčio lėšų panaudojimą įstaigos vadovas kasmet atsiskaito įstaigos tarybos, tėvų (globėjų), bendruomenės susirinkime.</w:t>
      </w:r>
    </w:p>
    <w:p w:rsidR="00E96607" w:rsidRDefault="00E96607">
      <w:pPr>
        <w:shd w:val="clear" w:color="auto" w:fill="FFFFFF"/>
        <w:ind w:right="14" w:firstLine="851"/>
        <w:jc w:val="center"/>
        <w:rPr>
          <w:b/>
          <w:bCs/>
          <w:spacing w:val="-1"/>
          <w:szCs w:val="24"/>
        </w:rPr>
      </w:pPr>
    </w:p>
    <w:p w:rsidR="00E96607" w:rsidRDefault="00554DB6">
      <w:pPr>
        <w:shd w:val="clear" w:color="auto" w:fill="FFFFFF"/>
        <w:ind w:right="14" w:firstLine="851"/>
        <w:jc w:val="center"/>
        <w:rPr>
          <w:b/>
          <w:bCs/>
          <w:spacing w:val="-1"/>
          <w:szCs w:val="24"/>
        </w:rPr>
      </w:pPr>
      <w:r>
        <w:rPr>
          <w:b/>
          <w:bCs/>
          <w:spacing w:val="-1"/>
          <w:szCs w:val="24"/>
        </w:rPr>
        <w:t>IV SKYRIUS</w:t>
      </w:r>
    </w:p>
    <w:p w:rsidR="00E96607" w:rsidRDefault="00554DB6">
      <w:pPr>
        <w:shd w:val="clear" w:color="auto" w:fill="FFFFFF"/>
        <w:ind w:right="14" w:firstLine="851"/>
        <w:jc w:val="center"/>
        <w:rPr>
          <w:b/>
          <w:bCs/>
          <w:spacing w:val="-1"/>
          <w:szCs w:val="24"/>
        </w:rPr>
      </w:pPr>
      <w:r>
        <w:rPr>
          <w:b/>
          <w:bCs/>
          <w:spacing w:val="-1"/>
          <w:szCs w:val="24"/>
        </w:rPr>
        <w:t>BAIGIAMOSIOS NUOSTATOS</w:t>
      </w:r>
    </w:p>
    <w:p w:rsidR="00E96607" w:rsidRDefault="00E96607">
      <w:pPr>
        <w:shd w:val="clear" w:color="auto" w:fill="FFFFFF"/>
        <w:ind w:right="14" w:firstLine="851"/>
        <w:jc w:val="center"/>
        <w:rPr>
          <w:b/>
          <w:bCs/>
          <w:spacing w:val="-1"/>
          <w:szCs w:val="24"/>
        </w:rPr>
      </w:pPr>
    </w:p>
    <w:p w:rsidR="00E96607" w:rsidRDefault="00554DB6">
      <w:pPr>
        <w:shd w:val="clear" w:color="auto" w:fill="FFFFFF"/>
        <w:ind w:right="14" w:firstLine="709"/>
        <w:jc w:val="both"/>
        <w:rPr>
          <w:bCs/>
          <w:spacing w:val="-1"/>
          <w:szCs w:val="24"/>
        </w:rPr>
      </w:pPr>
      <w:r>
        <w:rPr>
          <w:bCs/>
          <w:spacing w:val="-1"/>
          <w:szCs w:val="24"/>
        </w:rPr>
        <w:t>15</w:t>
      </w:r>
      <w:r>
        <w:rPr>
          <w:bCs/>
          <w:spacing w:val="-1"/>
          <w:szCs w:val="24"/>
        </w:rPr>
        <w:t xml:space="preserve">. Vaikai, kuriems yra skirtas privalomas ikimokyklinis ugdymas, yra atleidžiami nuo mokesčio už vaiko išlaikymą. </w:t>
      </w:r>
    </w:p>
    <w:p w:rsidR="00E96607" w:rsidRDefault="00554DB6">
      <w:pPr>
        <w:shd w:val="clear" w:color="auto" w:fill="FFFFFF"/>
        <w:tabs>
          <w:tab w:val="left" w:pos="1051"/>
        </w:tabs>
        <w:spacing w:line="274" w:lineRule="exact"/>
        <w:ind w:right="29" w:firstLine="709"/>
        <w:jc w:val="both"/>
        <w:rPr>
          <w:spacing w:val="-1"/>
          <w:szCs w:val="24"/>
        </w:rPr>
      </w:pPr>
      <w:r>
        <w:rPr>
          <w:spacing w:val="-1"/>
          <w:szCs w:val="24"/>
        </w:rPr>
        <w:t xml:space="preserve">16. Už tai, kad mokestis </w:t>
      </w:r>
      <w:r>
        <w:rPr>
          <w:bCs/>
          <w:spacing w:val="-1"/>
          <w:szCs w:val="24"/>
        </w:rPr>
        <w:t>už vaiko išlaikymą</w:t>
      </w:r>
      <w:r>
        <w:rPr>
          <w:spacing w:val="-1"/>
          <w:szCs w:val="24"/>
        </w:rPr>
        <w:t xml:space="preserve"> būtų surinktas laiku, yra atsakingas švietimo įstaigos direktorius ar jo įgaliotas asmuo. </w:t>
      </w:r>
    </w:p>
    <w:p w:rsidR="00E96607" w:rsidRDefault="00554DB6">
      <w:pPr>
        <w:shd w:val="clear" w:color="auto" w:fill="FFFFFF"/>
        <w:tabs>
          <w:tab w:val="left" w:pos="1051"/>
        </w:tabs>
        <w:spacing w:line="274" w:lineRule="exact"/>
        <w:ind w:right="29" w:firstLine="709"/>
        <w:jc w:val="both"/>
        <w:rPr>
          <w:spacing w:val="-1"/>
          <w:szCs w:val="24"/>
        </w:rPr>
      </w:pPr>
      <w:r>
        <w:rPr>
          <w:spacing w:val="-1"/>
          <w:szCs w:val="24"/>
        </w:rPr>
        <w:t>17. Jei</w:t>
      </w:r>
      <w:r>
        <w:rPr>
          <w:spacing w:val="-1"/>
          <w:szCs w:val="24"/>
        </w:rPr>
        <w:t xml:space="preserve"> mokestis už vaiko išlaikymą nesumokamas du mėnesius, švietimo įstaiga turi teisę vienašališkai nutraukti ugdymo sutartį.</w:t>
      </w:r>
    </w:p>
    <w:p w:rsidR="00E96607" w:rsidRDefault="00554DB6">
      <w:pPr>
        <w:shd w:val="clear" w:color="auto" w:fill="FFFFFF"/>
        <w:tabs>
          <w:tab w:val="left" w:pos="1051"/>
        </w:tabs>
        <w:spacing w:line="274" w:lineRule="exact"/>
        <w:ind w:right="29" w:firstLine="709"/>
        <w:jc w:val="both"/>
      </w:pPr>
      <w:r>
        <w:rPr>
          <w:spacing w:val="-1"/>
          <w:szCs w:val="24"/>
        </w:rPr>
        <w:t>18. Mokesčio už vaiko išlaikymą švietimo įstaigoje skolos iš tėvų (</w:t>
      </w:r>
      <w:r>
        <w:rPr>
          <w:rFonts w:cs="Arial Unicode MS"/>
          <w:szCs w:val="24"/>
        </w:rPr>
        <w:t>kitų teisėtų vaiko atstovų</w:t>
      </w:r>
      <w:r>
        <w:rPr>
          <w:spacing w:val="-1"/>
          <w:szCs w:val="24"/>
        </w:rPr>
        <w:t xml:space="preserve">) išieškomos </w:t>
      </w:r>
      <w:r>
        <w:rPr>
          <w:szCs w:val="24"/>
        </w:rPr>
        <w:t xml:space="preserve">Lietuvos Respublikos teisės </w:t>
      </w:r>
      <w:r>
        <w:rPr>
          <w:szCs w:val="24"/>
        </w:rPr>
        <w:t xml:space="preserve">aktų nustatyta tvarka. </w:t>
      </w:r>
    </w:p>
    <w:p w:rsidR="00E96607" w:rsidRDefault="00554DB6">
      <w:pPr>
        <w:ind w:firstLine="720"/>
        <w:jc w:val="both"/>
      </w:pPr>
      <w:r>
        <w:rPr>
          <w:rFonts w:eastAsia="Calibri"/>
          <w:szCs w:val="22"/>
        </w:rPr>
        <w:t>19. Aprašas skelbiamas Joniškio rajono savivaldybės mokyklų, vykdančių ikimokyklinį ir (ar) priešmokyklinį ugdymą, interneto svetainėse.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T-61</w:t>
        </w:r>
      </w:hyperlink>
      <w:r>
        <w:rPr>
          <w:rFonts w:eastAsia="MS Mincho"/>
          <w:i/>
          <w:iCs/>
          <w:sz w:val="20"/>
        </w:rPr>
        <w:t>, 2021-04-29, paskelbta TAR 2021-05-04, i. k. 2021-09599</w:t>
      </w:r>
    </w:p>
    <w:p w:rsidR="00E96607" w:rsidRDefault="00E96607"/>
    <w:p w:rsidR="00E96607" w:rsidRDefault="00554DB6">
      <w:pPr>
        <w:ind w:firstLine="720"/>
        <w:jc w:val="both"/>
        <w:rPr>
          <w:rFonts w:cs="Arial Unicode MS"/>
          <w:szCs w:val="24"/>
        </w:rPr>
      </w:pPr>
      <w:r>
        <w:rPr>
          <w:rFonts w:eastAsia="Calibri"/>
          <w:szCs w:val="22"/>
        </w:rPr>
        <w:t>20. Aprašas gali būti keičiamas, pildomas Joniškio rajono savivaldybės tarybos sprendimu.</w:t>
      </w:r>
      <w:r>
        <w:t xml:space="preserve"> </w:t>
      </w:r>
    </w:p>
    <w:p w:rsidR="00E96607" w:rsidRDefault="00554DB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:rsidR="00E96607" w:rsidRDefault="00554DB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32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T-61</w:t>
        </w:r>
      </w:hyperlink>
      <w:r>
        <w:rPr>
          <w:rFonts w:eastAsia="MS Mincho"/>
          <w:i/>
          <w:iCs/>
          <w:sz w:val="20"/>
        </w:rPr>
        <w:t>, 2021-04-29, paskelbta TAR 2021-05-04, i. k. 2021-09599</w:t>
      </w:r>
    </w:p>
    <w:p w:rsidR="00E96607" w:rsidRDefault="00E96607"/>
    <w:p w:rsidR="00E96607" w:rsidRDefault="00554DB6">
      <w:pPr>
        <w:shd w:val="clear" w:color="auto" w:fill="FFFFFF"/>
        <w:tabs>
          <w:tab w:val="left" w:pos="1051"/>
        </w:tabs>
        <w:spacing w:line="274" w:lineRule="exact"/>
        <w:ind w:right="36"/>
        <w:jc w:val="center"/>
        <w:rPr>
          <w:szCs w:val="24"/>
        </w:rPr>
      </w:pPr>
      <w:r>
        <w:rPr>
          <w:szCs w:val="24"/>
        </w:rPr>
        <w:t>___________________________</w:t>
      </w:r>
    </w:p>
    <w:p w:rsidR="00E96607" w:rsidRDefault="00E96607">
      <w:pPr>
        <w:rPr>
          <w:szCs w:val="22"/>
          <w:lang w:eastAsia="lt-LT"/>
        </w:rPr>
      </w:pPr>
    </w:p>
    <w:p w:rsidR="00E96607" w:rsidRDefault="00E96607">
      <w:pPr>
        <w:jc w:val="both"/>
        <w:rPr>
          <w:b/>
          <w:sz w:val="20"/>
        </w:rPr>
      </w:pPr>
    </w:p>
    <w:p w:rsidR="00E96607" w:rsidRDefault="00E96607">
      <w:pPr>
        <w:jc w:val="both"/>
        <w:rPr>
          <w:b/>
          <w:sz w:val="20"/>
        </w:rPr>
      </w:pPr>
    </w:p>
    <w:p w:rsidR="00E96607" w:rsidRDefault="00554DB6">
      <w:pPr>
        <w:jc w:val="both"/>
        <w:rPr>
          <w:b/>
        </w:rPr>
      </w:pPr>
      <w:r>
        <w:rPr>
          <w:b/>
          <w:sz w:val="20"/>
        </w:rPr>
        <w:t>Pakeitimai:</w:t>
      </w:r>
    </w:p>
    <w:p w:rsidR="00E96607" w:rsidRDefault="00E96607">
      <w:pPr>
        <w:jc w:val="both"/>
        <w:rPr>
          <w:sz w:val="20"/>
        </w:rPr>
      </w:pPr>
    </w:p>
    <w:p w:rsidR="00E96607" w:rsidRDefault="00554DB6">
      <w:pPr>
        <w:jc w:val="both"/>
      </w:pPr>
      <w:r>
        <w:rPr>
          <w:sz w:val="20"/>
        </w:rPr>
        <w:t>1.</w:t>
      </w:r>
    </w:p>
    <w:p w:rsidR="00E96607" w:rsidRDefault="00554DB6">
      <w:pPr>
        <w:jc w:val="both"/>
      </w:pPr>
      <w:r>
        <w:rPr>
          <w:sz w:val="20"/>
        </w:rPr>
        <w:t>Joniškio rajono savivaldybės taryba, Sprendimas</w:t>
      </w:r>
    </w:p>
    <w:p w:rsidR="00E96607" w:rsidRDefault="00554DB6">
      <w:pPr>
        <w:jc w:val="both"/>
      </w:pPr>
      <w:r>
        <w:rPr>
          <w:sz w:val="20"/>
        </w:rPr>
        <w:t xml:space="preserve">Nr. </w:t>
      </w:r>
      <w:hyperlink r:id="rId33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T-25</w:t>
        </w:r>
      </w:hyperlink>
      <w:r>
        <w:rPr>
          <w:rFonts w:eastAsia="MS Mincho"/>
          <w:iCs/>
          <w:sz w:val="20"/>
        </w:rPr>
        <w:t>, 2020-02-20, paskelbta TAR 2020-02-24, i. k. 2020-03916</w:t>
      </w:r>
    </w:p>
    <w:p w:rsidR="00E96607" w:rsidRDefault="00554DB6">
      <w:pPr>
        <w:jc w:val="both"/>
      </w:pPr>
      <w:r>
        <w:rPr>
          <w:sz w:val="20"/>
        </w:rPr>
        <w:t>Dėl Joniškio rajono savivaldybės tarybos 2019 m. rugpjūčio 29 d. sprendimo Nr. T-183 „Dėl Mok</w:t>
      </w:r>
      <w:r>
        <w:rPr>
          <w:sz w:val="20"/>
        </w:rPr>
        <w:t>esčio už vaikų, ugdomų pagal ikimokyklinio ir priešmokyklinio ugdymo programas, išlaikymą Joniškio rajono savivaldybės švietimo įstaigose tvarkos aprašo patvirtinimo“ pakeitimo</w:t>
      </w:r>
    </w:p>
    <w:p w:rsidR="00E96607" w:rsidRDefault="00E96607">
      <w:pPr>
        <w:jc w:val="both"/>
        <w:rPr>
          <w:sz w:val="20"/>
        </w:rPr>
      </w:pPr>
    </w:p>
    <w:p w:rsidR="00E96607" w:rsidRDefault="00554DB6">
      <w:pPr>
        <w:jc w:val="both"/>
      </w:pPr>
      <w:r>
        <w:rPr>
          <w:sz w:val="20"/>
        </w:rPr>
        <w:t>2.</w:t>
      </w:r>
    </w:p>
    <w:p w:rsidR="00E96607" w:rsidRDefault="00554DB6">
      <w:pPr>
        <w:jc w:val="both"/>
      </w:pPr>
      <w:r>
        <w:rPr>
          <w:sz w:val="20"/>
        </w:rPr>
        <w:t>Joniškio rajono savivaldybės taryba, Sprendimas</w:t>
      </w:r>
    </w:p>
    <w:p w:rsidR="00E96607" w:rsidRDefault="00554DB6">
      <w:pPr>
        <w:jc w:val="both"/>
      </w:pPr>
      <w:r>
        <w:rPr>
          <w:sz w:val="20"/>
        </w:rPr>
        <w:t xml:space="preserve">Nr. </w:t>
      </w:r>
      <w:hyperlink r:id="rId34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T-61</w:t>
        </w:r>
      </w:hyperlink>
      <w:r>
        <w:rPr>
          <w:rFonts w:eastAsia="MS Mincho"/>
          <w:iCs/>
          <w:sz w:val="20"/>
        </w:rPr>
        <w:t>, 2021-04-29, paskelbta TAR 2021-05-04, i. k. 2021-09599</w:t>
      </w:r>
    </w:p>
    <w:p w:rsidR="00E96607" w:rsidRDefault="00554DB6">
      <w:pPr>
        <w:jc w:val="both"/>
      </w:pPr>
      <w:r>
        <w:rPr>
          <w:sz w:val="20"/>
        </w:rPr>
        <w:lastRenderedPageBreak/>
        <w:t>Dėl Joniškio rajono savivaldybės tarybos 2019 m. rugpjūčio 29 d. sprendimo Nr. T-183 „Dėl Mokesčio už vaikų, ugdomų paga</w:t>
      </w:r>
      <w:r>
        <w:rPr>
          <w:sz w:val="20"/>
        </w:rPr>
        <w:t>l ikimokyklinio ir priešmokyklinio ugdymo programas, išlaikymą Joniškio rajono savivaldybės švietimo įstaigose tvarkos aprašo patvirtinimo“ pakeitimo</w:t>
      </w:r>
    </w:p>
    <w:p w:rsidR="00E96607" w:rsidRDefault="00E96607">
      <w:pPr>
        <w:jc w:val="both"/>
        <w:rPr>
          <w:sz w:val="20"/>
        </w:rPr>
      </w:pPr>
    </w:p>
    <w:p w:rsidR="00E96607" w:rsidRDefault="00554DB6">
      <w:pPr>
        <w:jc w:val="both"/>
      </w:pPr>
      <w:r>
        <w:rPr>
          <w:sz w:val="20"/>
        </w:rPr>
        <w:t>3.</w:t>
      </w:r>
    </w:p>
    <w:p w:rsidR="00E96607" w:rsidRDefault="00554DB6">
      <w:pPr>
        <w:jc w:val="both"/>
      </w:pPr>
      <w:r>
        <w:rPr>
          <w:sz w:val="20"/>
        </w:rPr>
        <w:t>Joniškio rajono savivaldybės taryba, Sprendimas</w:t>
      </w:r>
    </w:p>
    <w:p w:rsidR="00E96607" w:rsidRDefault="00554DB6">
      <w:pPr>
        <w:jc w:val="both"/>
      </w:pPr>
      <w:r>
        <w:rPr>
          <w:sz w:val="20"/>
        </w:rPr>
        <w:t xml:space="preserve">Nr. </w:t>
      </w:r>
      <w:hyperlink r:id="rId35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T-54</w:t>
        </w:r>
      </w:hyperlink>
      <w:r>
        <w:rPr>
          <w:rFonts w:eastAsia="MS Mincho"/>
          <w:iCs/>
          <w:sz w:val="20"/>
        </w:rPr>
        <w:t>, 2022-03-31, paskelbta TAR 2022-04-04, i. k. 2022-06873</w:t>
      </w:r>
    </w:p>
    <w:p w:rsidR="00E96607" w:rsidRDefault="00554DB6">
      <w:pPr>
        <w:jc w:val="both"/>
      </w:pPr>
      <w:r>
        <w:rPr>
          <w:sz w:val="20"/>
        </w:rPr>
        <w:t xml:space="preserve">Dėl Joniškio rajono savivaldybės tarybos 2019 m. rugpjūčio 29 d. sprendimo Nr. T-183 „Dėl Mokesčio </w:t>
      </w:r>
      <w:r>
        <w:rPr>
          <w:sz w:val="20"/>
        </w:rPr>
        <w:t>už vaikų, ugdomų pagal ikimokyklinio ir priešmokyklinio ugdymo programas, išlaikymą Joniškio rajono savivaldybės švietimo įstaigose tvarkos aprašo patvirtinimo“ papildymo</w:t>
      </w:r>
    </w:p>
    <w:p w:rsidR="00E96607" w:rsidRDefault="00E96607">
      <w:pPr>
        <w:jc w:val="both"/>
        <w:rPr>
          <w:sz w:val="20"/>
        </w:rPr>
      </w:pPr>
    </w:p>
    <w:p w:rsidR="00E96607" w:rsidRDefault="00554DB6">
      <w:pPr>
        <w:jc w:val="both"/>
      </w:pPr>
      <w:r>
        <w:rPr>
          <w:sz w:val="20"/>
        </w:rPr>
        <w:t>4.</w:t>
      </w:r>
    </w:p>
    <w:p w:rsidR="00E96607" w:rsidRDefault="00554DB6">
      <w:pPr>
        <w:jc w:val="both"/>
      </w:pPr>
      <w:r>
        <w:rPr>
          <w:sz w:val="20"/>
        </w:rPr>
        <w:t>Joniškio rajono savivaldybės taryba, Sprendimas</w:t>
      </w:r>
    </w:p>
    <w:p w:rsidR="00E96607" w:rsidRDefault="00554DB6">
      <w:pPr>
        <w:jc w:val="both"/>
      </w:pPr>
      <w:r>
        <w:rPr>
          <w:sz w:val="20"/>
        </w:rPr>
        <w:t xml:space="preserve">Nr. </w:t>
      </w:r>
      <w:hyperlink r:id="rId36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T-130</w:t>
        </w:r>
      </w:hyperlink>
      <w:r>
        <w:rPr>
          <w:rFonts w:eastAsia="MS Mincho"/>
          <w:iCs/>
          <w:sz w:val="20"/>
        </w:rPr>
        <w:t>, 2022-05-26, paskelbta TAR 2022-05-26, i. k. 2022-11070</w:t>
      </w:r>
    </w:p>
    <w:p w:rsidR="00E96607" w:rsidRDefault="00554DB6">
      <w:pPr>
        <w:jc w:val="both"/>
      </w:pPr>
      <w:r>
        <w:rPr>
          <w:sz w:val="20"/>
        </w:rPr>
        <w:t>Dėl Joniškio rajono savivaldybės tarybos 2019 m. rugpjūčio 29 d. sprendimo Nr. T-183 „Dėl Mokesčio už vaikų, ugdomų pagal iki</w:t>
      </w:r>
      <w:r>
        <w:rPr>
          <w:sz w:val="20"/>
        </w:rPr>
        <w:t>mokyklinio ir priešmokyklinio ugdymo programas, išlaikymą Joniškio rajono savivaldybės švietimo įstaigose tvarkos aprašo patvirtinimo“ pakeitimo</w:t>
      </w:r>
    </w:p>
    <w:p w:rsidR="00E96607" w:rsidRDefault="00E96607">
      <w:pPr>
        <w:jc w:val="both"/>
        <w:rPr>
          <w:sz w:val="20"/>
        </w:rPr>
      </w:pPr>
    </w:p>
    <w:p w:rsidR="00E96607" w:rsidRDefault="00554DB6">
      <w:pPr>
        <w:jc w:val="both"/>
      </w:pPr>
      <w:r>
        <w:rPr>
          <w:sz w:val="20"/>
        </w:rPr>
        <w:t>5.</w:t>
      </w:r>
    </w:p>
    <w:p w:rsidR="00E96607" w:rsidRDefault="00554DB6">
      <w:pPr>
        <w:jc w:val="both"/>
      </w:pPr>
      <w:r>
        <w:rPr>
          <w:sz w:val="20"/>
        </w:rPr>
        <w:t>Joniškio rajono savivaldybės taryba, Sprendimas</w:t>
      </w:r>
    </w:p>
    <w:p w:rsidR="00E96607" w:rsidRDefault="00554DB6">
      <w:pPr>
        <w:jc w:val="both"/>
      </w:pPr>
      <w:r>
        <w:rPr>
          <w:sz w:val="20"/>
        </w:rPr>
        <w:t xml:space="preserve">Nr. </w:t>
      </w:r>
      <w:hyperlink r:id="rId37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T-157</w:t>
        </w:r>
      </w:hyperlink>
      <w:r>
        <w:rPr>
          <w:rFonts w:eastAsia="MS Mincho"/>
          <w:iCs/>
          <w:sz w:val="20"/>
        </w:rPr>
        <w:t>, 2022-08-31, paskelbta TAR 2022-08-31, i. k. 2022-18051</w:t>
      </w:r>
    </w:p>
    <w:p w:rsidR="00E96607" w:rsidRDefault="00554DB6">
      <w:pPr>
        <w:jc w:val="both"/>
      </w:pPr>
      <w:r>
        <w:rPr>
          <w:sz w:val="20"/>
        </w:rPr>
        <w:t>Dėl Joniškio rajono savivaldybės tarybos 2019 m. rugpjūčio 29 d. sprendimo Nr. T-183 „Dėl Mokesčio už vaikų, ugdomų pagal ikimokyklinio ir priešmokykli</w:t>
      </w:r>
      <w:r>
        <w:rPr>
          <w:sz w:val="20"/>
        </w:rPr>
        <w:t>nio ugdymo programas, išlaikymą Joniškio rajono savivaldybės švietimo įstaigose tvarkos aprašo patvirtinimo“ pakeitimo</w:t>
      </w:r>
    </w:p>
    <w:p w:rsidR="00E96607" w:rsidRDefault="00E96607">
      <w:pPr>
        <w:jc w:val="both"/>
        <w:rPr>
          <w:sz w:val="20"/>
        </w:rPr>
      </w:pPr>
    </w:p>
    <w:p w:rsidR="00E96607" w:rsidRDefault="00554DB6">
      <w:pPr>
        <w:jc w:val="both"/>
      </w:pPr>
      <w:r>
        <w:rPr>
          <w:sz w:val="20"/>
        </w:rPr>
        <w:t>6.</w:t>
      </w:r>
    </w:p>
    <w:p w:rsidR="00E96607" w:rsidRDefault="00554DB6">
      <w:pPr>
        <w:jc w:val="both"/>
      </w:pPr>
      <w:r>
        <w:rPr>
          <w:sz w:val="20"/>
        </w:rPr>
        <w:t>Joniškio rajono savivaldybės taryba, Sprendimas</w:t>
      </w:r>
    </w:p>
    <w:p w:rsidR="00E96607" w:rsidRDefault="00554DB6">
      <w:pPr>
        <w:jc w:val="both"/>
      </w:pPr>
      <w:r>
        <w:rPr>
          <w:sz w:val="20"/>
        </w:rPr>
        <w:t xml:space="preserve">Nr. </w:t>
      </w:r>
      <w:hyperlink r:id="rId38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T-150</w:t>
        </w:r>
      </w:hyperlink>
      <w:r>
        <w:rPr>
          <w:rFonts w:eastAsia="MS Mincho"/>
          <w:iCs/>
          <w:sz w:val="20"/>
        </w:rPr>
        <w:t>, 2023-09-28, paskelbta TAR 2023-09-29, i. k. 2023-19053</w:t>
      </w:r>
    </w:p>
    <w:p w:rsidR="00E96607" w:rsidRDefault="00554DB6">
      <w:pPr>
        <w:jc w:val="both"/>
      </w:pPr>
      <w:r>
        <w:rPr>
          <w:sz w:val="20"/>
        </w:rPr>
        <w:t>Dėl Joniškio rajono savivaldybės tarybos 2019 m. rugpjūčio 29 d. sprendimo Nr. T-183 „Dėl Mokesčio už vaikų, ugdomų pagal ikimokyklinio ir priešmokyklinio ugdymo programas, išla</w:t>
      </w:r>
      <w:r>
        <w:rPr>
          <w:sz w:val="20"/>
        </w:rPr>
        <w:t>ikymą Joniškio rajono savivaldybės švietimo įstaigose tvarkos aprašo patvirtinimo“ pakeitimo</w:t>
      </w:r>
    </w:p>
    <w:p w:rsidR="00E96607" w:rsidRDefault="00E96607">
      <w:pPr>
        <w:jc w:val="both"/>
        <w:rPr>
          <w:sz w:val="20"/>
        </w:rPr>
      </w:pPr>
    </w:p>
    <w:p w:rsidR="00E96607" w:rsidRDefault="00E96607">
      <w:pPr>
        <w:widowControl w:val="0"/>
        <w:rPr>
          <w:snapToGrid w:val="0"/>
        </w:rPr>
      </w:pPr>
    </w:p>
    <w:sectPr w:rsidR="00E96607">
      <w:pgSz w:w="11906" w:h="16838" w:code="9"/>
      <w:pgMar w:top="1134" w:right="567" w:bottom="1134" w:left="1701" w:header="992" w:footer="79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DB6" w:rsidRDefault="00554DB6">
      <w:pPr>
        <w:rPr>
          <w:lang w:val="en-AU" w:eastAsia="lt-LT"/>
        </w:rPr>
      </w:pPr>
      <w:r>
        <w:rPr>
          <w:lang w:val="en-AU" w:eastAsia="lt-LT"/>
        </w:rPr>
        <w:separator/>
      </w:r>
    </w:p>
  </w:endnote>
  <w:endnote w:type="continuationSeparator" w:id="0">
    <w:p w:rsidR="00554DB6" w:rsidRDefault="00554DB6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07" w:rsidRDefault="00E96607">
    <w:pPr>
      <w:tabs>
        <w:tab w:val="center" w:pos="4153"/>
        <w:tab w:val="right" w:pos="8306"/>
      </w:tabs>
      <w:rPr>
        <w:lang w:val="en-AU"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07" w:rsidRDefault="00E96607">
    <w:pPr>
      <w:tabs>
        <w:tab w:val="center" w:pos="4153"/>
        <w:tab w:val="right" w:pos="8306"/>
      </w:tabs>
      <w:rPr>
        <w:lang w:val="en-AU"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07" w:rsidRDefault="00E96607">
    <w:pPr>
      <w:tabs>
        <w:tab w:val="center" w:pos="4153"/>
        <w:tab w:val="right" w:pos="8306"/>
      </w:tabs>
      <w:rPr>
        <w:lang w:val="en-AU"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DB6" w:rsidRDefault="00554DB6">
      <w:pPr>
        <w:rPr>
          <w:lang w:val="en-AU" w:eastAsia="lt-LT"/>
        </w:rPr>
      </w:pPr>
      <w:r>
        <w:rPr>
          <w:lang w:val="en-AU" w:eastAsia="lt-LT"/>
        </w:rPr>
        <w:separator/>
      </w:r>
    </w:p>
  </w:footnote>
  <w:footnote w:type="continuationSeparator" w:id="0">
    <w:p w:rsidR="00554DB6" w:rsidRDefault="00554DB6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07" w:rsidRDefault="00554DB6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:rsidR="00E96607" w:rsidRDefault="00E96607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07" w:rsidRDefault="00554DB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C32C6">
      <w:rPr>
        <w:noProof/>
      </w:rPr>
      <w:t>2</w:t>
    </w:r>
    <w:r>
      <w:fldChar w:fldCharType="end"/>
    </w:r>
  </w:p>
  <w:p w:rsidR="00E96607" w:rsidRDefault="00E96607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07" w:rsidRDefault="00E96607">
    <w:pPr>
      <w:pStyle w:val="Antrats"/>
      <w:jc w:val="center"/>
    </w:pPr>
  </w:p>
  <w:p w:rsidR="00E96607" w:rsidRDefault="00E9660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EE"/>
    <w:rsid w:val="00554DB6"/>
    <w:rsid w:val="00B07CEE"/>
    <w:rsid w:val="00E96607"/>
    <w:rsid w:val="00E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B60BE26-DDFB-40D8-9CEC-C555DE39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e-tar.lt/portal/legalAct.html?documentId=659bc650ac9e11eba871a26c1fc3fbc1" TargetMode="External"/><Relationship Id="rId26" Type="http://schemas.openxmlformats.org/officeDocument/2006/relationships/hyperlink" Target="https://www.e-tar.lt/portal/legalAct.html?documentId=a7052f50292f11edb4cae1b158f98ea5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e-tar.lt/portal/legalAct.html?documentId=44a8e100b3df11ec8d9390588bf2de65" TargetMode="External"/><Relationship Id="rId34" Type="http://schemas.openxmlformats.org/officeDocument/2006/relationships/hyperlink" Target="https://www.e-tar.lt/portal/legalAct.html?documentId=659bc650ac9e11eba871a26c1fc3fbc1" TargetMode="Externa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s://www.e-tar.lt/portal/legalAct.html?documentId=ee28349056f511ea931dbf3357b5b1c0" TargetMode="External"/><Relationship Id="rId25" Type="http://schemas.openxmlformats.org/officeDocument/2006/relationships/hyperlink" Target="https://www.e-tar.lt/portal/legalAct.html?documentId=659bc650ac9e11eba871a26c1fc3fbc1" TargetMode="External"/><Relationship Id="rId33" Type="http://schemas.openxmlformats.org/officeDocument/2006/relationships/hyperlink" Target="https://www.e-tar.lt/portal/legalAct.html?documentId=ee28349056f511ea931dbf3357b5b1c0" TargetMode="External"/><Relationship Id="rId38" Type="http://schemas.openxmlformats.org/officeDocument/2006/relationships/hyperlink" Target="https://www.e-tar.lt/portal/legalAct.html?documentId=c181f1b05e9911ee81b8b446907f594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tar.lt/portal/legalAct.html?documentId=a7052f50292f11edb4cae1b158f98ea5" TargetMode="External"/><Relationship Id="rId20" Type="http://schemas.openxmlformats.org/officeDocument/2006/relationships/hyperlink" Target="https://www.e-tar.lt/portal/legalAct.html?documentId=a7052f50292f11edb4cae1b158f98ea5" TargetMode="External"/><Relationship Id="rId29" Type="http://schemas.openxmlformats.org/officeDocument/2006/relationships/hyperlink" Target="https://www.e-tar.lt/portal/legalAct.html?documentId=c181f1b05e9911ee81b8b446907f594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www.e-tar.lt/portal/legalAct.html?documentId=659bc650ac9e11eba871a26c1fc3fbc1" TargetMode="External"/><Relationship Id="rId32" Type="http://schemas.openxmlformats.org/officeDocument/2006/relationships/hyperlink" Target="https://www.e-tar.lt/portal/legalAct.html?documentId=659bc650ac9e11eba871a26c1fc3fbc1" TargetMode="External"/><Relationship Id="rId37" Type="http://schemas.openxmlformats.org/officeDocument/2006/relationships/hyperlink" Target="https://www.e-tar.lt/portal/legalAct.html?documentId=a7052f50292f11edb4cae1b158f98ea5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-tar.lt/portal/legalAct.html?documentId=659bc650ac9e11eba871a26c1fc3fbc1" TargetMode="External"/><Relationship Id="rId23" Type="http://schemas.openxmlformats.org/officeDocument/2006/relationships/hyperlink" Target="https://www.e-tar.lt/portal/legalAct.html?documentId=659bc650ac9e11eba871a26c1fc3fbc1" TargetMode="External"/><Relationship Id="rId28" Type="http://schemas.openxmlformats.org/officeDocument/2006/relationships/hyperlink" Target="https://www.e-tar.lt/portal/legalAct.html?documentId=75b26f60dcf111ec8d9390588bf2de65" TargetMode="External"/><Relationship Id="rId36" Type="http://schemas.openxmlformats.org/officeDocument/2006/relationships/hyperlink" Target="https://www.e-tar.lt/portal/legalAct.html?documentId=75b26f60dcf111ec8d9390588bf2de65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e-tar.lt/portal/legalAct.html?documentId=a7052f50292f11edb4cae1b158f98ea5" TargetMode="External"/><Relationship Id="rId31" Type="http://schemas.openxmlformats.org/officeDocument/2006/relationships/hyperlink" Target="https://www.e-tar.lt/portal/legalAct.html?documentId=659bc650ac9e11eba871a26c1fc3fbc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e-tar.lt/portal/legalAct.html?documentId=75b26f60dcf111ec8d9390588bf2de65" TargetMode="External"/><Relationship Id="rId27" Type="http://schemas.openxmlformats.org/officeDocument/2006/relationships/hyperlink" Target="https://www.e-tar.lt/portal/legalAct.html?documentId=44a8e100b3df11ec8d9390588bf2de65" TargetMode="External"/><Relationship Id="rId30" Type="http://schemas.openxmlformats.org/officeDocument/2006/relationships/hyperlink" Target="https://www.e-tar.lt/portal/legalAct.html?documentId=659bc650ac9e11eba871a26c1fc3fbc1" TargetMode="External"/><Relationship Id="rId35" Type="http://schemas.openxmlformats.org/officeDocument/2006/relationships/hyperlink" Target="https://www.e-tar.lt/portal/legalAct.html?documentId=44a8e100b3df11ec8d9390588bf2de65" TargetMode="External"/><Relationship Id="rId8" Type="http://schemas.openxmlformats.org/officeDocument/2006/relationships/hyperlink" Target="https://www.e-tar.lt/portal/legalAct.html?documentId=c181f1b05e9911ee81b8b446907f594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015B3-6442-4E5F-A19D-B34C03EC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8601</Words>
  <Characters>4903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JONIŠKIO RAJONO SAVIVALDYBĖS ADMINISTRACIJOS</vt:lpstr>
      <vt:lpstr>DĖL JONIŠKIO RAJONO SAVIVALDYBĖS ADMINISTRACIJOS</vt:lpstr>
    </vt:vector>
  </TitlesOfParts>
  <Company>Joniskio r. savivaldybe</Company>
  <LinksUpToDate>false</LinksUpToDate>
  <CharactersWithSpaces>13478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JONIŠKIO RAJONO SAVIVALDYBĖS ADMINISTRACIJOS</dc:title>
  <dc:creator>Laimute Vasiliauskiene</dc:creator>
  <cp:lastModifiedBy>37061</cp:lastModifiedBy>
  <cp:revision>2</cp:revision>
  <cp:lastPrinted>2014-03-04T09:11:00Z</cp:lastPrinted>
  <dcterms:created xsi:type="dcterms:W3CDTF">2025-11-05T14:44:00Z</dcterms:created>
  <dcterms:modified xsi:type="dcterms:W3CDTF">2025-11-05T14:44:00Z</dcterms:modified>
</cp:coreProperties>
</file>