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A4" w:rsidRPr="00AA4F65" w:rsidRDefault="00E21AA4" w:rsidP="00E21AA4">
      <w:pPr>
        <w:ind w:left="5184"/>
        <w:rPr>
          <w:sz w:val="24"/>
        </w:rPr>
      </w:pPr>
      <w:r w:rsidRPr="00AA4F65">
        <w:rPr>
          <w:sz w:val="24"/>
        </w:rPr>
        <w:t>S</w:t>
      </w:r>
      <w:bookmarkStart w:id="0" w:name="_GoBack"/>
      <w:bookmarkEnd w:id="0"/>
      <w:r w:rsidRPr="00AA4F65">
        <w:rPr>
          <w:sz w:val="24"/>
        </w:rPr>
        <w:t xml:space="preserve">kaistgirio gimnazijos direktoriaus </w:t>
      </w:r>
    </w:p>
    <w:p w:rsidR="00E21AA4" w:rsidRPr="00AA4F65" w:rsidRDefault="00E21AA4" w:rsidP="00E21AA4">
      <w:pPr>
        <w:ind w:left="5184"/>
        <w:rPr>
          <w:sz w:val="24"/>
        </w:rPr>
      </w:pPr>
      <w:r w:rsidRPr="00AA4F65">
        <w:rPr>
          <w:sz w:val="24"/>
        </w:rPr>
        <w:t xml:space="preserve">2016 m. rugpjūčio  31  d.  </w:t>
      </w:r>
    </w:p>
    <w:p w:rsidR="00E21AA4" w:rsidRPr="00AA4F65" w:rsidRDefault="00E21AA4" w:rsidP="00E21AA4">
      <w:pPr>
        <w:ind w:left="5184"/>
        <w:rPr>
          <w:sz w:val="24"/>
        </w:rPr>
      </w:pPr>
      <w:r w:rsidRPr="00AA4F65">
        <w:rPr>
          <w:sz w:val="24"/>
        </w:rPr>
        <w:t xml:space="preserve">įsakymo Nr. V–193   </w:t>
      </w:r>
      <w:r>
        <w:rPr>
          <w:sz w:val="24"/>
        </w:rPr>
        <w:t>3</w:t>
      </w:r>
      <w:r w:rsidRPr="00AA4F65">
        <w:rPr>
          <w:sz w:val="24"/>
        </w:rPr>
        <w:t xml:space="preserve"> priedas </w:t>
      </w:r>
    </w:p>
    <w:p w:rsidR="00E21AA4" w:rsidRPr="00AA4F65" w:rsidRDefault="00E21AA4" w:rsidP="00E21AA4">
      <w:pPr>
        <w:spacing w:line="360" w:lineRule="auto"/>
        <w:rPr>
          <w:rFonts w:eastAsia="Calibri"/>
          <w:b/>
          <w:color w:val="000000"/>
          <w:sz w:val="24"/>
        </w:rPr>
      </w:pPr>
    </w:p>
    <w:p w:rsidR="00E21AA4" w:rsidRDefault="00E21AA4" w:rsidP="00E21AA4">
      <w:pPr>
        <w:tabs>
          <w:tab w:val="left" w:pos="1635"/>
        </w:tabs>
        <w:spacing w:line="276" w:lineRule="auto"/>
        <w:rPr>
          <w:sz w:val="24"/>
        </w:rPr>
      </w:pPr>
    </w:p>
    <w:p w:rsidR="00E21AA4" w:rsidRPr="00AA4F65" w:rsidRDefault="00E21AA4" w:rsidP="00E21AA4">
      <w:pPr>
        <w:spacing w:line="276" w:lineRule="auto"/>
        <w:jc w:val="center"/>
        <w:rPr>
          <w:rFonts w:eastAsia="Calibri"/>
          <w:b/>
          <w:color w:val="000000"/>
          <w:sz w:val="24"/>
        </w:rPr>
      </w:pPr>
      <w:r>
        <w:rPr>
          <w:b/>
          <w:sz w:val="24"/>
          <w:szCs w:val="20"/>
        </w:rPr>
        <w:t xml:space="preserve">JONIŠKIO R.  </w:t>
      </w:r>
      <w:r w:rsidRPr="00AA4F65">
        <w:rPr>
          <w:b/>
          <w:sz w:val="24"/>
          <w:szCs w:val="20"/>
        </w:rPr>
        <w:t>SKAISTGIRIO GIMNAZIJ</w:t>
      </w:r>
      <w:r>
        <w:rPr>
          <w:b/>
          <w:sz w:val="24"/>
          <w:szCs w:val="20"/>
        </w:rPr>
        <w:t>OS</w:t>
      </w:r>
      <w:r w:rsidRPr="00AA4F65">
        <w:rPr>
          <w:b/>
          <w:sz w:val="24"/>
          <w:szCs w:val="20"/>
        </w:rPr>
        <w:t xml:space="preserve"> </w:t>
      </w:r>
      <w:r w:rsidRPr="00AA4F65">
        <w:rPr>
          <w:rFonts w:eastAsia="Calibri"/>
          <w:b/>
          <w:color w:val="000000"/>
          <w:sz w:val="24"/>
        </w:rPr>
        <w:t xml:space="preserve"> </w:t>
      </w:r>
    </w:p>
    <w:p w:rsidR="00E21AA4" w:rsidRPr="00AA4F65" w:rsidRDefault="00E21AA4" w:rsidP="00E21AA4">
      <w:pPr>
        <w:spacing w:line="276" w:lineRule="auto"/>
        <w:jc w:val="center"/>
        <w:rPr>
          <w:rFonts w:eastAsia="Calibri"/>
          <w:b/>
          <w:color w:val="000000"/>
          <w:sz w:val="24"/>
          <w:shd w:val="clear" w:color="auto" w:fill="FFFFFF"/>
        </w:rPr>
      </w:pPr>
      <w:r w:rsidRPr="00AA4F65">
        <w:rPr>
          <w:rFonts w:eastAsia="Calibri"/>
          <w:b/>
          <w:color w:val="000000"/>
          <w:sz w:val="24"/>
        </w:rPr>
        <w:t xml:space="preserve"> PAGALBOS PAGAL GYDYTOJŲ REKOMENDACIJAS UŽTIKRINIMO</w:t>
      </w:r>
      <w:r w:rsidRPr="00AA4F65">
        <w:rPr>
          <w:b/>
          <w:sz w:val="24"/>
          <w:szCs w:val="20"/>
        </w:rPr>
        <w:t>, JEIGU MOKINYS SERGA LĖTINE NEINFEKCINE LIGA,</w:t>
      </w:r>
      <w:r w:rsidRPr="00AA4F65">
        <w:rPr>
          <w:rFonts w:eastAsia="Calibri"/>
          <w:b/>
          <w:sz w:val="24"/>
        </w:rPr>
        <w:t xml:space="preserve"> T</w:t>
      </w:r>
      <w:r w:rsidRPr="00AA4F65">
        <w:rPr>
          <w:rFonts w:eastAsia="Calibri"/>
          <w:b/>
          <w:color w:val="000000"/>
          <w:sz w:val="24"/>
        </w:rPr>
        <w:t>VARKOS APRAŠAS</w:t>
      </w:r>
    </w:p>
    <w:p w:rsidR="00E21AA4" w:rsidRPr="00AA4F65" w:rsidRDefault="00E21AA4" w:rsidP="00E21AA4">
      <w:pPr>
        <w:spacing w:line="276" w:lineRule="auto"/>
        <w:jc w:val="center"/>
        <w:rPr>
          <w:rFonts w:eastAsia="Calibri"/>
          <w:b/>
          <w:color w:val="000000"/>
          <w:sz w:val="24"/>
          <w:shd w:val="clear" w:color="auto" w:fill="FFFFFF"/>
        </w:rPr>
      </w:pPr>
    </w:p>
    <w:p w:rsidR="00E21AA4" w:rsidRPr="00AA4F65" w:rsidRDefault="00E21AA4" w:rsidP="00E21AA4">
      <w:pPr>
        <w:spacing w:line="276" w:lineRule="auto"/>
        <w:jc w:val="center"/>
        <w:rPr>
          <w:rFonts w:eastAsia="Calibri"/>
          <w:b/>
          <w:sz w:val="24"/>
        </w:rPr>
      </w:pPr>
      <w:r w:rsidRPr="00AA4F65">
        <w:rPr>
          <w:rFonts w:eastAsia="Calibri"/>
          <w:b/>
          <w:sz w:val="24"/>
        </w:rPr>
        <w:t>I SKYRIUS</w:t>
      </w:r>
    </w:p>
    <w:p w:rsidR="00E21AA4" w:rsidRPr="00AA4F65" w:rsidRDefault="00E21AA4" w:rsidP="00E21AA4">
      <w:pPr>
        <w:spacing w:line="276" w:lineRule="auto"/>
        <w:jc w:val="center"/>
        <w:rPr>
          <w:rFonts w:eastAsia="Calibri"/>
          <w:b/>
          <w:sz w:val="24"/>
        </w:rPr>
      </w:pPr>
      <w:r w:rsidRPr="00AA4F65">
        <w:rPr>
          <w:rFonts w:eastAsia="Calibri"/>
          <w:b/>
          <w:sz w:val="24"/>
        </w:rPr>
        <w:t>BENDROSIOS NUOSTATOS</w:t>
      </w:r>
    </w:p>
    <w:p w:rsidR="00E21AA4" w:rsidRPr="00AA4F65" w:rsidRDefault="00E21AA4" w:rsidP="00E21AA4">
      <w:pPr>
        <w:spacing w:line="276" w:lineRule="auto"/>
        <w:ind w:firstLine="851"/>
        <w:jc w:val="both"/>
        <w:rPr>
          <w:strike/>
          <w:sz w:val="24"/>
          <w:lang w:eastAsia="lt-LT"/>
        </w:rPr>
      </w:pPr>
      <w:r w:rsidRPr="00AA4F65">
        <w:rPr>
          <w:sz w:val="24"/>
          <w:lang w:eastAsia="lt-LT"/>
        </w:rPr>
        <w:t>1</w:t>
      </w:r>
      <w:r w:rsidRPr="00AA4F65">
        <w:rPr>
          <w:color w:val="FF0000"/>
          <w:sz w:val="24"/>
          <w:lang w:eastAsia="lt-LT"/>
        </w:rPr>
        <w:t>.</w:t>
      </w:r>
      <w:r w:rsidRPr="00AA4F65">
        <w:rPr>
          <w:color w:val="000000"/>
          <w:sz w:val="24"/>
          <w:lang w:eastAsia="lt-LT"/>
        </w:rPr>
        <w:t xml:space="preserve"> Pagalbos</w:t>
      </w:r>
      <w:r w:rsidRPr="00AA4F65">
        <w:rPr>
          <w:sz w:val="24"/>
          <w:lang w:eastAsia="lt-LT"/>
        </w:rPr>
        <w:t xml:space="preserve"> pagal gydytojų rekomendacijas užtikrinimo tvarkos aprašas (toliau – Aprašas) reglamentuoja atitinkamos pagalbos pagal gydytojų rekomendacijas užtikrinimą (pvz. vaistų laikymą, išdavimą, naudojimą ir kt.), jeigu Mokinys serga lėtine neinfekcine liga </w:t>
      </w:r>
      <w:r w:rsidRPr="00AA4F65">
        <w:rPr>
          <w:sz w:val="24"/>
          <w:szCs w:val="20"/>
        </w:rPr>
        <w:t xml:space="preserve">(pvz.: cukriniu diabetu, bronchine astma ar kita) </w:t>
      </w:r>
      <w:r w:rsidRPr="00AA4F65">
        <w:rPr>
          <w:sz w:val="24"/>
          <w:lang w:eastAsia="lt-LT"/>
        </w:rPr>
        <w:t>Joniškio r</w:t>
      </w:r>
      <w:r>
        <w:rPr>
          <w:sz w:val="24"/>
          <w:lang w:eastAsia="lt-LT"/>
        </w:rPr>
        <w:t xml:space="preserve">. </w:t>
      </w:r>
      <w:r w:rsidRPr="00AA4F65">
        <w:rPr>
          <w:sz w:val="24"/>
          <w:lang w:eastAsia="lt-LT"/>
        </w:rPr>
        <w:t>Skaistgirio gimnazijoje (toliau – Mokykla).</w:t>
      </w:r>
    </w:p>
    <w:p w:rsidR="00E21AA4" w:rsidRPr="00AA4F65" w:rsidRDefault="00E21AA4" w:rsidP="00E21AA4">
      <w:pPr>
        <w:spacing w:line="276" w:lineRule="auto"/>
        <w:ind w:firstLine="851"/>
        <w:jc w:val="both"/>
        <w:rPr>
          <w:rFonts w:eastAsia="Calibri"/>
          <w:sz w:val="24"/>
        </w:rPr>
      </w:pPr>
      <w:r w:rsidRPr="00AA4F65">
        <w:rPr>
          <w:rFonts w:eastAsia="Calibri"/>
          <w:sz w:val="24"/>
        </w:rPr>
        <w:t>2. Mokyklos vadovas numato vietą mokykloje (visuomenės sveikatos priežiūros kabinete arba kitoje paskirtoje patalpoje), kurioje pagal gydytojų paskyrimą moksleiviai sergantys lėtinėmis neinfekcinėmis ligomis įvykdo paskirtas rekomendacijas.</w:t>
      </w:r>
    </w:p>
    <w:p w:rsidR="00E21AA4" w:rsidRPr="00AA4F65" w:rsidRDefault="00E21AA4" w:rsidP="00E21AA4">
      <w:pPr>
        <w:spacing w:line="276" w:lineRule="auto"/>
        <w:ind w:firstLine="851"/>
        <w:jc w:val="both"/>
        <w:rPr>
          <w:color w:val="000000"/>
          <w:sz w:val="24"/>
          <w:lang w:eastAsia="lt-LT"/>
        </w:rPr>
      </w:pPr>
      <w:r w:rsidRPr="00AA4F65">
        <w:rPr>
          <w:color w:val="000000"/>
          <w:sz w:val="24"/>
          <w:lang w:eastAsia="lt-LT"/>
        </w:rPr>
        <w:t>3. Mokyklos vadovas su šiuo Aprašu supažindina klasės auklėtojus, socialinį darbuotoją ir kitus su aprašo vykdymu susijusius darbuotojus.</w:t>
      </w:r>
    </w:p>
    <w:p w:rsidR="00E21AA4" w:rsidRPr="00AA4F65" w:rsidRDefault="00E21AA4" w:rsidP="00E21AA4">
      <w:pPr>
        <w:spacing w:line="276" w:lineRule="auto"/>
        <w:ind w:firstLine="851"/>
        <w:jc w:val="both"/>
        <w:rPr>
          <w:color w:val="000000"/>
          <w:sz w:val="24"/>
          <w:lang w:eastAsia="lt-LT"/>
        </w:rPr>
      </w:pPr>
      <w:r w:rsidRPr="00AA4F65">
        <w:rPr>
          <w:color w:val="000000"/>
          <w:sz w:val="24"/>
          <w:lang w:eastAsia="lt-LT"/>
        </w:rPr>
        <w:t>4. Mokyklos vadovas skiria atsakingą asmenį už šio Aprašo vykdymą.</w:t>
      </w:r>
    </w:p>
    <w:p w:rsidR="00E21AA4" w:rsidRPr="00AA4F65" w:rsidRDefault="00E21AA4" w:rsidP="00E21AA4">
      <w:pPr>
        <w:spacing w:line="276" w:lineRule="auto"/>
        <w:ind w:firstLine="851"/>
        <w:jc w:val="both"/>
        <w:rPr>
          <w:sz w:val="24"/>
          <w:lang w:eastAsia="lt-LT"/>
        </w:rPr>
      </w:pPr>
      <w:r w:rsidRPr="00AA4F65">
        <w:rPr>
          <w:sz w:val="24"/>
          <w:lang w:eastAsia="lt-LT"/>
        </w:rPr>
        <w:t>5.</w:t>
      </w:r>
      <w:r w:rsidRPr="00AA4F65">
        <w:rPr>
          <w:color w:val="FF0000"/>
          <w:sz w:val="24"/>
          <w:lang w:eastAsia="lt-LT"/>
        </w:rPr>
        <w:t xml:space="preserve"> </w:t>
      </w:r>
      <w:r w:rsidRPr="00AA4F65">
        <w:rPr>
          <w:sz w:val="24"/>
          <w:lang w:eastAsia="lt-LT"/>
        </w:rPr>
        <w:t>Aprašas parengtas vadovaujantis</w:t>
      </w:r>
      <w:r w:rsidRPr="00AA4F65">
        <w:rPr>
          <w:color w:val="FF0000"/>
          <w:sz w:val="24"/>
          <w:lang w:eastAsia="lt-LT"/>
        </w:rPr>
        <w:t xml:space="preserve"> </w:t>
      </w:r>
      <w:r w:rsidRPr="00AA4F65">
        <w:rPr>
          <w:sz w:val="24"/>
          <w:lang w:eastAsia="lt-LT"/>
        </w:rPr>
        <w:t xml:space="preserve">Lietuvos Respublikos visuomenės sveikatos priežiūros įstatymu, Sveikatos priežiūra mokyklose tvarkos aprašu, patvirtinu, </w:t>
      </w:r>
      <w:r w:rsidRPr="00AA4F65">
        <w:rPr>
          <w:color w:val="000000"/>
          <w:sz w:val="24"/>
          <w:lang w:eastAsia="lt-LT"/>
        </w:rPr>
        <w:t xml:space="preserve">Lietuvos Respublikos sveikatos apsaugos ministro ir Lietuvos Respublikos švietimo ir mokslo ministro įsakymo pakeitimu, </w:t>
      </w:r>
      <w:r w:rsidRPr="00AA4F65">
        <w:rPr>
          <w:sz w:val="24"/>
          <w:lang w:eastAsia="lt-LT"/>
        </w:rPr>
        <w:t>visuomenės sveikatos priežiūros specialisto pareigybės aprašymu ir šiuo Aprašu.</w:t>
      </w:r>
    </w:p>
    <w:p w:rsidR="00E21AA4" w:rsidRPr="00AA4F65" w:rsidRDefault="00E21AA4" w:rsidP="00E21AA4">
      <w:pPr>
        <w:spacing w:line="276" w:lineRule="auto"/>
        <w:rPr>
          <w:rFonts w:eastAsia="Calibri"/>
          <w:sz w:val="24"/>
        </w:rPr>
      </w:pPr>
    </w:p>
    <w:p w:rsidR="00E21AA4" w:rsidRPr="00AA4F65" w:rsidRDefault="00E21AA4" w:rsidP="00E21AA4">
      <w:pPr>
        <w:spacing w:line="276" w:lineRule="auto"/>
        <w:jc w:val="center"/>
        <w:rPr>
          <w:rFonts w:eastAsia="Calibri"/>
          <w:b/>
          <w:color w:val="000000"/>
          <w:sz w:val="24"/>
        </w:rPr>
      </w:pPr>
      <w:r w:rsidRPr="00AA4F65">
        <w:rPr>
          <w:rFonts w:eastAsia="Calibri"/>
          <w:b/>
          <w:color w:val="000000"/>
          <w:sz w:val="24"/>
        </w:rPr>
        <w:t>II SKYRIUS</w:t>
      </w:r>
    </w:p>
    <w:p w:rsidR="00E21AA4" w:rsidRPr="00AA4F65" w:rsidRDefault="00E21AA4" w:rsidP="00E21AA4">
      <w:pPr>
        <w:spacing w:line="276" w:lineRule="auto"/>
        <w:jc w:val="center"/>
        <w:rPr>
          <w:rFonts w:eastAsia="Calibri"/>
          <w:b/>
          <w:color w:val="000000"/>
          <w:sz w:val="24"/>
          <w:shd w:val="clear" w:color="auto" w:fill="FFFFFF"/>
        </w:rPr>
      </w:pPr>
      <w:r w:rsidRPr="00AA4F65">
        <w:rPr>
          <w:rFonts w:eastAsia="Calibri"/>
          <w:b/>
          <w:color w:val="000000"/>
          <w:sz w:val="24"/>
        </w:rPr>
        <w:t>PAGALBOS PAGAL GYDYTOJŲ REKOMENDACIJAS UŽTIKRINIMO</w:t>
      </w:r>
      <w:r w:rsidRPr="00AA4F65">
        <w:rPr>
          <w:b/>
          <w:sz w:val="24"/>
          <w:szCs w:val="20"/>
        </w:rPr>
        <w:t>, JEIGU MOKINYS SERGA LĖTINE NEINFEKCINE LIGA</w:t>
      </w:r>
      <w:r w:rsidRPr="00AA4F65">
        <w:rPr>
          <w:rFonts w:eastAsia="Calibri"/>
          <w:b/>
          <w:color w:val="000000"/>
          <w:sz w:val="24"/>
          <w:shd w:val="clear" w:color="auto" w:fill="FFFFFF"/>
        </w:rPr>
        <w:t xml:space="preserve"> VEIKSMŲ EIGA </w:t>
      </w:r>
    </w:p>
    <w:p w:rsidR="00E21AA4" w:rsidRPr="00AA4F65" w:rsidRDefault="00E21AA4" w:rsidP="00E21AA4">
      <w:pPr>
        <w:spacing w:line="276" w:lineRule="auto"/>
        <w:ind w:firstLine="851"/>
        <w:jc w:val="center"/>
        <w:rPr>
          <w:rFonts w:eastAsia="Calibri"/>
          <w:b/>
          <w:color w:val="000000"/>
          <w:sz w:val="24"/>
        </w:rPr>
      </w:pPr>
    </w:p>
    <w:p w:rsidR="00E21AA4" w:rsidRPr="00AA4F65" w:rsidRDefault="00E21AA4" w:rsidP="00E21AA4">
      <w:pPr>
        <w:tabs>
          <w:tab w:val="left" w:pos="567"/>
        </w:tabs>
        <w:spacing w:line="276" w:lineRule="auto"/>
        <w:ind w:firstLine="851"/>
        <w:jc w:val="both"/>
        <w:rPr>
          <w:rFonts w:eastAsia="Calibri"/>
          <w:sz w:val="24"/>
        </w:rPr>
      </w:pPr>
      <w:r w:rsidRPr="00AA4F65">
        <w:rPr>
          <w:rFonts w:eastAsia="Calibri"/>
          <w:sz w:val="24"/>
        </w:rPr>
        <w:t xml:space="preserve">6. Visuomenės sveikatos priežiūros specialistas, klasės auklėtojas ir (ar) socialinis darbuotojas priima iš tėvų (globėjų) pateiktas gydytojo rekomendacijas, kaip vartoti vaistus vaikui, kuris serga lėtine neinfekcine liga (cukrinis diabetas, bronchinė astma ar kita). </w:t>
      </w:r>
    </w:p>
    <w:p w:rsidR="00E21AA4" w:rsidRPr="00AA4F65" w:rsidRDefault="00E21AA4" w:rsidP="00E21AA4">
      <w:pPr>
        <w:spacing w:after="200" w:line="276" w:lineRule="auto"/>
        <w:ind w:firstLine="851"/>
        <w:contextualSpacing/>
        <w:jc w:val="both"/>
        <w:rPr>
          <w:sz w:val="24"/>
          <w:szCs w:val="20"/>
        </w:rPr>
      </w:pPr>
      <w:r w:rsidRPr="00AA4F65">
        <w:rPr>
          <w:rFonts w:eastAsia="Calibri"/>
          <w:sz w:val="24"/>
        </w:rPr>
        <w:t xml:space="preserve">7. </w:t>
      </w:r>
      <w:r w:rsidRPr="00AA4F65">
        <w:rPr>
          <w:sz w:val="24"/>
          <w:szCs w:val="20"/>
        </w:rPr>
        <w:t>Tėvai (globėjai) visuomenės sveikatos specialistui,</w:t>
      </w:r>
      <w:r w:rsidRPr="00AA4F65">
        <w:rPr>
          <w:rFonts w:eastAsia="Calibri"/>
          <w:sz w:val="24"/>
        </w:rPr>
        <w:t xml:space="preserve"> klasės auklėtojui ir (ar) socialini</w:t>
      </w:r>
      <w:r>
        <w:rPr>
          <w:rFonts w:eastAsia="Calibri"/>
          <w:sz w:val="24"/>
        </w:rPr>
        <w:t>am</w:t>
      </w:r>
      <w:r w:rsidRPr="00AA4F65">
        <w:rPr>
          <w:rFonts w:eastAsia="Calibri"/>
          <w:sz w:val="24"/>
        </w:rPr>
        <w:t xml:space="preserve"> darbuotojui</w:t>
      </w:r>
      <w:r w:rsidRPr="00AA4F65">
        <w:rPr>
          <w:sz w:val="24"/>
          <w:szCs w:val="20"/>
        </w:rPr>
        <w:t xml:space="preserve"> vaistus turi pateikti originalioje pakuotėje su informaciniu pakeliu. Ant pakuotės turi būti užrašytas vaiko, kuriam skirti vaistai, vardas ir pavardė. Bet kokiu atveju pirma vaistų dozė turėtų būti suvartota vaikui esant namie.</w:t>
      </w:r>
    </w:p>
    <w:p w:rsidR="00E21AA4" w:rsidRPr="00AA4F65" w:rsidRDefault="00E21AA4" w:rsidP="00E21AA4">
      <w:pPr>
        <w:spacing w:line="276" w:lineRule="auto"/>
        <w:ind w:firstLine="851"/>
        <w:contextualSpacing/>
        <w:jc w:val="both"/>
        <w:rPr>
          <w:sz w:val="24"/>
          <w:szCs w:val="20"/>
        </w:rPr>
      </w:pPr>
      <w:r w:rsidRPr="00AA4F65">
        <w:rPr>
          <w:sz w:val="24"/>
          <w:szCs w:val="20"/>
        </w:rPr>
        <w:t>8. Vaistus vaikui Mokykloje gali duoti ir vaiko tėvai (globėjai).</w:t>
      </w:r>
    </w:p>
    <w:p w:rsidR="00E21AA4" w:rsidRPr="00AA4F65" w:rsidRDefault="00E21AA4" w:rsidP="00E21AA4">
      <w:pPr>
        <w:spacing w:line="276" w:lineRule="auto"/>
        <w:ind w:firstLine="851"/>
        <w:contextualSpacing/>
        <w:jc w:val="both"/>
        <w:rPr>
          <w:sz w:val="24"/>
          <w:szCs w:val="20"/>
        </w:rPr>
      </w:pPr>
      <w:r w:rsidRPr="00AA4F65">
        <w:rPr>
          <w:sz w:val="24"/>
          <w:szCs w:val="20"/>
        </w:rPr>
        <w:t>9. Visuomenės sveikatos specialistas, pagal gydytojo rekomendacijas, parengia ir su tėvais (globėjais) suderina vaisto vartojimo ir administravimo planą: vaistas, dozė, vartojimo tvarkaraštis, vartojimo būdas, galimi pašaliniai efektai.</w:t>
      </w:r>
    </w:p>
    <w:p w:rsidR="00E21AA4" w:rsidRPr="00AA4F65" w:rsidRDefault="00E21AA4" w:rsidP="00E21AA4">
      <w:pPr>
        <w:spacing w:line="276" w:lineRule="auto"/>
        <w:ind w:left="360" w:firstLine="491"/>
        <w:contextualSpacing/>
        <w:jc w:val="both"/>
        <w:rPr>
          <w:sz w:val="24"/>
          <w:szCs w:val="20"/>
        </w:rPr>
      </w:pPr>
      <w:r w:rsidRPr="00AA4F65">
        <w:rPr>
          <w:sz w:val="24"/>
          <w:szCs w:val="20"/>
        </w:rPr>
        <w:t>10. Siekiant išvengti vaisto vartojimo klaidų kiekvieną kartą vaikui duodant vaistą patikrinti:</w:t>
      </w:r>
    </w:p>
    <w:p w:rsidR="00E21AA4" w:rsidRPr="00AA4F65" w:rsidRDefault="00E21AA4" w:rsidP="00E21AA4">
      <w:pPr>
        <w:spacing w:line="276" w:lineRule="auto"/>
        <w:ind w:left="360" w:firstLine="491"/>
        <w:contextualSpacing/>
        <w:jc w:val="both"/>
        <w:rPr>
          <w:sz w:val="24"/>
          <w:szCs w:val="20"/>
        </w:rPr>
      </w:pPr>
      <w:r w:rsidRPr="00AA4F65">
        <w:rPr>
          <w:sz w:val="24"/>
          <w:szCs w:val="20"/>
        </w:rPr>
        <w:t>10.1. ar tas vaikas, kuriam vaistas išrašytas;</w:t>
      </w:r>
    </w:p>
    <w:p w:rsidR="00E21AA4" w:rsidRPr="00AA4F65" w:rsidRDefault="00E21AA4" w:rsidP="00E21AA4">
      <w:pPr>
        <w:spacing w:line="276" w:lineRule="auto"/>
        <w:ind w:left="360" w:firstLine="491"/>
        <w:contextualSpacing/>
        <w:jc w:val="both"/>
        <w:rPr>
          <w:sz w:val="24"/>
          <w:szCs w:val="20"/>
        </w:rPr>
      </w:pPr>
      <w:r w:rsidRPr="00AA4F65">
        <w:rPr>
          <w:sz w:val="24"/>
          <w:szCs w:val="20"/>
        </w:rPr>
        <w:lastRenderedPageBreak/>
        <w:t>10.2. ar tas vaistas;</w:t>
      </w:r>
    </w:p>
    <w:p w:rsidR="00E21AA4" w:rsidRPr="00AA4F65" w:rsidRDefault="00E21AA4" w:rsidP="00E21AA4">
      <w:pPr>
        <w:spacing w:line="276" w:lineRule="auto"/>
        <w:ind w:left="360" w:firstLine="491"/>
        <w:contextualSpacing/>
        <w:jc w:val="both"/>
        <w:rPr>
          <w:sz w:val="24"/>
          <w:szCs w:val="20"/>
        </w:rPr>
      </w:pPr>
      <w:r w:rsidRPr="00AA4F65">
        <w:rPr>
          <w:sz w:val="24"/>
          <w:szCs w:val="20"/>
        </w:rPr>
        <w:t>10.3. ar teisinga vaisto dozė;</w:t>
      </w:r>
    </w:p>
    <w:p w:rsidR="00E21AA4" w:rsidRPr="00AA4F65" w:rsidRDefault="00E21AA4" w:rsidP="00E21AA4">
      <w:pPr>
        <w:spacing w:line="276" w:lineRule="auto"/>
        <w:ind w:left="360" w:firstLine="491"/>
        <w:contextualSpacing/>
        <w:jc w:val="both"/>
        <w:rPr>
          <w:sz w:val="24"/>
          <w:szCs w:val="20"/>
        </w:rPr>
      </w:pPr>
      <w:r w:rsidRPr="00AA4F65">
        <w:rPr>
          <w:sz w:val="24"/>
          <w:szCs w:val="20"/>
        </w:rPr>
        <w:t>10.4. ar teisingas laikas;</w:t>
      </w:r>
    </w:p>
    <w:p w:rsidR="00E21AA4" w:rsidRDefault="00E21AA4" w:rsidP="00E21AA4">
      <w:pPr>
        <w:spacing w:line="276" w:lineRule="auto"/>
        <w:ind w:left="360" w:firstLine="491"/>
        <w:contextualSpacing/>
        <w:jc w:val="both"/>
        <w:rPr>
          <w:sz w:val="24"/>
          <w:szCs w:val="20"/>
        </w:rPr>
      </w:pPr>
      <w:r w:rsidRPr="00AA4F65">
        <w:rPr>
          <w:sz w:val="24"/>
          <w:szCs w:val="20"/>
        </w:rPr>
        <w:t>10.5. ar teisingas vaisto vartojimo būdas.</w:t>
      </w:r>
    </w:p>
    <w:p w:rsidR="00E21AA4" w:rsidRPr="00AA4F65" w:rsidRDefault="00E21AA4" w:rsidP="00E21AA4">
      <w:pPr>
        <w:spacing w:line="276" w:lineRule="auto"/>
        <w:ind w:firstLine="851"/>
        <w:contextualSpacing/>
        <w:jc w:val="both"/>
        <w:rPr>
          <w:sz w:val="24"/>
          <w:szCs w:val="20"/>
        </w:rPr>
      </w:pPr>
      <w:r w:rsidRPr="00AA4F65">
        <w:rPr>
          <w:sz w:val="24"/>
          <w:szCs w:val="20"/>
        </w:rPr>
        <w:t>11. Vaikas vaistą turi suvartoti tik stebint visuomenės sveikatos specialistui,</w:t>
      </w:r>
      <w:r w:rsidRPr="00AA4F65">
        <w:rPr>
          <w:rFonts w:eastAsia="Calibri"/>
          <w:sz w:val="24"/>
        </w:rPr>
        <w:t xml:space="preserve"> klasės auklėtojui ir (ar) socialini</w:t>
      </w:r>
      <w:r>
        <w:rPr>
          <w:rFonts w:eastAsia="Calibri"/>
          <w:sz w:val="24"/>
        </w:rPr>
        <w:t>am</w:t>
      </w:r>
      <w:r w:rsidRPr="00AA4F65">
        <w:rPr>
          <w:rFonts w:eastAsia="Calibri"/>
          <w:sz w:val="24"/>
        </w:rPr>
        <w:t xml:space="preserve"> darbuotojui</w:t>
      </w:r>
      <w:r w:rsidRPr="00AA4F65">
        <w:rPr>
          <w:sz w:val="24"/>
          <w:szCs w:val="20"/>
        </w:rPr>
        <w:t>.</w:t>
      </w:r>
    </w:p>
    <w:p w:rsidR="00E21AA4" w:rsidRPr="00AA4F65" w:rsidRDefault="00E21AA4" w:rsidP="00E21AA4">
      <w:pPr>
        <w:spacing w:line="276" w:lineRule="auto"/>
        <w:ind w:firstLine="567"/>
        <w:contextualSpacing/>
        <w:jc w:val="both"/>
        <w:rPr>
          <w:sz w:val="24"/>
          <w:szCs w:val="20"/>
        </w:rPr>
      </w:pPr>
    </w:p>
    <w:p w:rsidR="00E21AA4" w:rsidRPr="00AA4F65" w:rsidRDefault="00E21AA4" w:rsidP="00E21AA4">
      <w:pPr>
        <w:spacing w:line="276" w:lineRule="auto"/>
        <w:ind w:firstLine="851"/>
        <w:jc w:val="center"/>
        <w:rPr>
          <w:rFonts w:eastAsia="Calibri"/>
          <w:b/>
          <w:color w:val="000000"/>
          <w:sz w:val="24"/>
        </w:rPr>
      </w:pPr>
      <w:r w:rsidRPr="00AA4F65">
        <w:rPr>
          <w:rFonts w:eastAsia="Calibri"/>
          <w:b/>
          <w:color w:val="000000"/>
          <w:sz w:val="24"/>
        </w:rPr>
        <w:t>III SKYRIUS</w:t>
      </w:r>
    </w:p>
    <w:p w:rsidR="00E21AA4" w:rsidRPr="00AA4F65" w:rsidRDefault="00E21AA4" w:rsidP="00E21AA4">
      <w:pPr>
        <w:spacing w:line="276" w:lineRule="auto"/>
        <w:ind w:firstLine="851"/>
        <w:jc w:val="center"/>
        <w:rPr>
          <w:rFonts w:eastAsia="Calibri"/>
          <w:color w:val="000000"/>
          <w:sz w:val="24"/>
        </w:rPr>
      </w:pPr>
      <w:r w:rsidRPr="00AA4F65">
        <w:rPr>
          <w:rFonts w:eastAsia="Calibri"/>
          <w:b/>
          <w:color w:val="000000"/>
          <w:sz w:val="24"/>
        </w:rPr>
        <w:t>BAIGIAMOSIOS NUOSTATOS</w:t>
      </w:r>
    </w:p>
    <w:p w:rsidR="00E21AA4" w:rsidRPr="00AA4F65" w:rsidRDefault="00E21AA4" w:rsidP="00E21AA4">
      <w:pPr>
        <w:spacing w:line="276" w:lineRule="auto"/>
        <w:ind w:firstLine="851"/>
        <w:jc w:val="both"/>
        <w:rPr>
          <w:rFonts w:eastAsia="Calibri"/>
          <w:color w:val="000000"/>
          <w:sz w:val="24"/>
        </w:rPr>
      </w:pPr>
      <w:r w:rsidRPr="00AA4F65">
        <w:rPr>
          <w:rFonts w:eastAsia="Calibri"/>
          <w:color w:val="000000"/>
          <w:sz w:val="24"/>
          <w:shd w:val="clear" w:color="auto" w:fill="FFFFFF"/>
        </w:rPr>
        <w:t>12. Aprašo vykdymą pagal savo kompetenciją kontroliuoja mokyklos direktorius ar jo įgaliotas asmuo.</w:t>
      </w:r>
    </w:p>
    <w:p w:rsidR="00E21AA4" w:rsidRPr="00AA4F65" w:rsidRDefault="00E21AA4" w:rsidP="00E21AA4">
      <w:pPr>
        <w:spacing w:line="276" w:lineRule="auto"/>
        <w:ind w:firstLine="851"/>
        <w:jc w:val="both"/>
        <w:rPr>
          <w:rFonts w:eastAsia="Calibri"/>
          <w:color w:val="000000"/>
          <w:sz w:val="24"/>
        </w:rPr>
      </w:pPr>
      <w:r w:rsidRPr="00AA4F65">
        <w:rPr>
          <w:rFonts w:eastAsia="Calibri"/>
          <w:color w:val="000000"/>
          <w:sz w:val="24"/>
        </w:rPr>
        <w:t>13. Atsakingi už pagalbos pagal gydytojų rekomendacijas užtikrinimą asmenys teikia pagalbą pagal šio Aprašo II skyriuje nurodytą veiksmų eigą.</w:t>
      </w:r>
    </w:p>
    <w:p w:rsidR="00E21AA4" w:rsidRPr="00AA4F65" w:rsidRDefault="00E21AA4" w:rsidP="00E21AA4">
      <w:pPr>
        <w:spacing w:line="276" w:lineRule="auto"/>
        <w:ind w:firstLine="851"/>
        <w:jc w:val="both"/>
        <w:rPr>
          <w:rFonts w:eastAsia="Calibri"/>
          <w:color w:val="000000"/>
          <w:sz w:val="24"/>
        </w:rPr>
      </w:pPr>
      <w:r w:rsidRPr="00AA4F65">
        <w:rPr>
          <w:rFonts w:eastAsia="Calibri"/>
          <w:color w:val="000000"/>
          <w:sz w:val="24"/>
        </w:rPr>
        <w:t>14. Mokyklos vadovas užtikrina galimybę gydytojo rekomendacijas vykdyti atskiroje patalpoje, kuri būtų prieinama moksleiviui sergančiam lėtine neinfekcine liga, numatytu laiku.</w:t>
      </w:r>
    </w:p>
    <w:p w:rsidR="00E21AA4" w:rsidRPr="00AA4F65" w:rsidRDefault="00E21AA4" w:rsidP="00E21AA4">
      <w:pPr>
        <w:spacing w:line="276" w:lineRule="auto"/>
        <w:ind w:firstLine="851"/>
        <w:jc w:val="both"/>
        <w:rPr>
          <w:rFonts w:eastAsia="Calibri"/>
          <w:color w:val="000000"/>
          <w:sz w:val="24"/>
        </w:rPr>
      </w:pPr>
      <w:r w:rsidRPr="00AA4F65">
        <w:rPr>
          <w:rFonts w:eastAsia="Calibri"/>
          <w:color w:val="000000"/>
          <w:sz w:val="24"/>
          <w:shd w:val="clear" w:color="auto" w:fill="FFFFFF"/>
        </w:rPr>
        <w:t>15. Mokyklų vadovai jų vadovaujamose įstaigose supažindina darbuotojus su šio Aprašo nuostatomis.</w:t>
      </w:r>
    </w:p>
    <w:p w:rsidR="00E21AA4" w:rsidRPr="00AA4F65" w:rsidRDefault="00E21AA4" w:rsidP="00E21AA4">
      <w:pPr>
        <w:spacing w:after="200" w:line="276" w:lineRule="auto"/>
        <w:rPr>
          <w:rFonts w:ascii="Calibri" w:eastAsia="Calibri" w:hAnsi="Calibri"/>
          <w:sz w:val="22"/>
          <w:szCs w:val="22"/>
        </w:rPr>
      </w:pPr>
    </w:p>
    <w:p w:rsidR="00E21AA4" w:rsidRDefault="00E21AA4" w:rsidP="00E21AA4">
      <w:pPr>
        <w:tabs>
          <w:tab w:val="left" w:pos="1635"/>
        </w:tabs>
        <w:spacing w:line="276" w:lineRule="auto"/>
        <w:rPr>
          <w:sz w:val="24"/>
        </w:rPr>
      </w:pPr>
    </w:p>
    <w:p w:rsidR="00E21AA4" w:rsidRDefault="00E21AA4" w:rsidP="00E21AA4">
      <w:pPr>
        <w:tabs>
          <w:tab w:val="left" w:pos="1635"/>
        </w:tabs>
        <w:spacing w:line="276" w:lineRule="auto"/>
        <w:rPr>
          <w:sz w:val="24"/>
        </w:rPr>
      </w:pPr>
    </w:p>
    <w:p w:rsidR="00E21AA4" w:rsidRDefault="00E21AA4" w:rsidP="00E21AA4">
      <w:pPr>
        <w:tabs>
          <w:tab w:val="left" w:pos="1635"/>
        </w:tabs>
        <w:spacing w:line="276" w:lineRule="auto"/>
        <w:rPr>
          <w:sz w:val="24"/>
        </w:rPr>
      </w:pPr>
    </w:p>
    <w:p w:rsidR="00E21AA4" w:rsidRDefault="00E21AA4" w:rsidP="00E21AA4">
      <w:pPr>
        <w:tabs>
          <w:tab w:val="left" w:pos="1635"/>
        </w:tabs>
        <w:spacing w:line="276" w:lineRule="auto"/>
        <w:jc w:val="center"/>
        <w:rPr>
          <w:sz w:val="24"/>
        </w:rPr>
      </w:pPr>
      <w:r>
        <w:rPr>
          <w:sz w:val="24"/>
        </w:rPr>
        <w:t>______________________________</w:t>
      </w:r>
    </w:p>
    <w:p w:rsidR="00E21AA4" w:rsidRDefault="00E21AA4" w:rsidP="00E21AA4">
      <w:pPr>
        <w:tabs>
          <w:tab w:val="left" w:pos="1635"/>
        </w:tabs>
        <w:spacing w:line="276" w:lineRule="auto"/>
        <w:rPr>
          <w:sz w:val="24"/>
        </w:rPr>
      </w:pPr>
    </w:p>
    <w:p w:rsidR="00432B7E" w:rsidRDefault="00432B7E"/>
    <w:sectPr w:rsidR="00432B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AA4"/>
    <w:rsid w:val="00432B7E"/>
    <w:rsid w:val="00E21A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1AA4"/>
    <w:pPr>
      <w:spacing w:after="0" w:line="240" w:lineRule="auto"/>
    </w:pPr>
    <w:rPr>
      <w:rFonts w:ascii="Times New Roman" w:eastAsia="Times New Roman" w:hAnsi="Times New Roman" w:cs="Times New Roman"/>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1AA4"/>
    <w:pPr>
      <w:spacing w:after="0" w:line="240" w:lineRule="auto"/>
    </w:pPr>
    <w:rPr>
      <w:rFonts w:ascii="Times New Roman" w:eastAsia="Times New Roman" w:hAnsi="Times New Roman" w:cs="Times New Roman"/>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2209</Words>
  <Characters>1260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Direktorius</cp:lastModifiedBy>
  <cp:revision>1</cp:revision>
  <dcterms:created xsi:type="dcterms:W3CDTF">2018-01-17T06:32:00Z</dcterms:created>
  <dcterms:modified xsi:type="dcterms:W3CDTF">2018-01-17T06:33:00Z</dcterms:modified>
</cp:coreProperties>
</file>