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65" w:rsidRPr="00453403" w:rsidRDefault="00453403" w:rsidP="004534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3403">
        <w:rPr>
          <w:rFonts w:ascii="Times New Roman" w:hAnsi="Times New Roman" w:cs="Times New Roman"/>
          <w:sz w:val="24"/>
          <w:szCs w:val="24"/>
        </w:rPr>
        <w:t xml:space="preserve">PATVIRTINTA </w:t>
      </w:r>
    </w:p>
    <w:p w:rsidR="00453403" w:rsidRPr="00453403" w:rsidRDefault="00453403" w:rsidP="004534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3403">
        <w:rPr>
          <w:rFonts w:ascii="Times New Roman" w:hAnsi="Times New Roman" w:cs="Times New Roman"/>
          <w:sz w:val="24"/>
          <w:szCs w:val="24"/>
        </w:rPr>
        <w:t>Joniškio r. Skaistgirio gimnazijos direktoriaus</w:t>
      </w:r>
    </w:p>
    <w:p w:rsidR="00453403" w:rsidRPr="00453403" w:rsidRDefault="00453403" w:rsidP="004534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3403">
        <w:rPr>
          <w:rFonts w:ascii="Times New Roman" w:hAnsi="Times New Roman" w:cs="Times New Roman"/>
          <w:sz w:val="24"/>
          <w:szCs w:val="24"/>
        </w:rPr>
        <w:t>2022 m. gruodžio 5 d. įsakymu Nr. V-75</w:t>
      </w:r>
    </w:p>
    <w:p w:rsidR="00D86A75" w:rsidRDefault="00D86A75" w:rsidP="00D86A75">
      <w:pPr>
        <w:tabs>
          <w:tab w:val="left" w:pos="660"/>
        </w:tabs>
        <w:spacing w:after="0" w:line="240" w:lineRule="auto"/>
        <w:jc w:val="center"/>
      </w:pPr>
    </w:p>
    <w:p w:rsidR="00453403" w:rsidRPr="00D86A75" w:rsidRDefault="00453403" w:rsidP="00D86A75">
      <w:pPr>
        <w:tabs>
          <w:tab w:val="left" w:pos="660"/>
        </w:tabs>
        <w:spacing w:after="0" w:line="240" w:lineRule="auto"/>
        <w:jc w:val="center"/>
        <w:rPr>
          <w:rFonts w:ascii="Times New Roman" w:eastAsia="Calibri" w:hAnsi="Times New Roman" w:cs="Times New Roman"/>
          <w:b/>
          <w:bCs/>
          <w:sz w:val="24"/>
          <w:szCs w:val="24"/>
        </w:rPr>
      </w:pPr>
    </w:p>
    <w:p w:rsidR="00D86A75" w:rsidRPr="00D86A75" w:rsidRDefault="00D86A75" w:rsidP="00D86A75">
      <w:pPr>
        <w:tabs>
          <w:tab w:val="left" w:pos="660"/>
        </w:tabs>
        <w:spacing w:after="0" w:line="240" w:lineRule="auto"/>
        <w:jc w:val="center"/>
        <w:rPr>
          <w:rFonts w:ascii="Times New Roman" w:eastAsia="Calibri" w:hAnsi="Times New Roman" w:cs="Times New Roman"/>
          <w:b/>
          <w:bCs/>
          <w:sz w:val="24"/>
          <w:szCs w:val="24"/>
        </w:rPr>
      </w:pPr>
      <w:r w:rsidRPr="00D86A75">
        <w:rPr>
          <w:rFonts w:ascii="Times New Roman" w:eastAsia="Calibri" w:hAnsi="Times New Roman" w:cs="Times New Roman"/>
          <w:b/>
          <w:bCs/>
          <w:sz w:val="24"/>
          <w:szCs w:val="24"/>
        </w:rPr>
        <w:t>JONIŠKIO R. SKAISTGIRIO GIMNAZIJOS</w:t>
      </w:r>
    </w:p>
    <w:p w:rsidR="00D86A75" w:rsidRDefault="00D86A75" w:rsidP="00D86A75">
      <w:pPr>
        <w:spacing w:after="0" w:line="240" w:lineRule="auto"/>
        <w:jc w:val="center"/>
        <w:rPr>
          <w:rFonts w:ascii="Times New Roman" w:hAnsi="Times New Roman" w:cs="Times New Roman"/>
          <w:b/>
          <w:color w:val="000000" w:themeColor="text1"/>
          <w:sz w:val="24"/>
          <w:szCs w:val="24"/>
        </w:rPr>
      </w:pPr>
      <w:r w:rsidRPr="00D86A75">
        <w:rPr>
          <w:rFonts w:ascii="Times New Roman" w:hAnsi="Times New Roman" w:cs="Times New Roman"/>
          <w:b/>
          <w:sz w:val="24"/>
          <w:szCs w:val="24"/>
        </w:rPr>
        <w:t xml:space="preserve">OLWEUS PATYČIŲ PREVENCIJOS PROGRAMOS </w:t>
      </w:r>
      <w:r w:rsidR="00A55B8F">
        <w:rPr>
          <w:rFonts w:ascii="Times New Roman" w:hAnsi="Times New Roman" w:cs="Times New Roman"/>
          <w:b/>
          <w:color w:val="000000" w:themeColor="text1"/>
          <w:sz w:val="24"/>
          <w:szCs w:val="24"/>
        </w:rPr>
        <w:t>DRAUSMINIMO KOPĖ</w:t>
      </w:r>
      <w:r w:rsidRPr="00D86A75">
        <w:rPr>
          <w:rFonts w:ascii="Times New Roman" w:hAnsi="Times New Roman" w:cs="Times New Roman"/>
          <w:b/>
          <w:color w:val="000000" w:themeColor="text1"/>
          <w:sz w:val="24"/>
          <w:szCs w:val="24"/>
        </w:rPr>
        <w:t>TĖLĖS</w:t>
      </w:r>
    </w:p>
    <w:p w:rsidR="00453403" w:rsidRPr="00D86A75" w:rsidRDefault="00453403" w:rsidP="00D86A75">
      <w:pPr>
        <w:spacing w:after="0" w:line="240" w:lineRule="auto"/>
        <w:jc w:val="center"/>
        <w:rPr>
          <w:rFonts w:ascii="Times New Roman" w:hAnsi="Times New Roman" w:cs="Times New Roman"/>
          <w:b/>
          <w:color w:val="1F497D" w:themeColor="text2"/>
          <w:sz w:val="24"/>
          <w:szCs w:val="24"/>
        </w:rPr>
      </w:pPr>
    </w:p>
    <w:p w:rsidR="00D86A75" w:rsidRPr="00D86A75" w:rsidRDefault="00D86A75" w:rsidP="00D86A75">
      <w:pPr>
        <w:spacing w:after="0"/>
        <w:jc w:val="both"/>
        <w:rPr>
          <w:rFonts w:ascii="Times New Roman" w:hAnsi="Times New Roman" w:cs="Times New Roman"/>
          <w:sz w:val="24"/>
          <w:szCs w:val="24"/>
        </w:rPr>
      </w:pPr>
    </w:p>
    <w:p w:rsidR="00D86A75" w:rsidRPr="00D86A75" w:rsidRDefault="00D86A75" w:rsidP="00453403">
      <w:pPr>
        <w:spacing w:after="0"/>
        <w:ind w:firstLine="1134"/>
        <w:jc w:val="both"/>
        <w:rPr>
          <w:rFonts w:ascii="Times New Roman" w:hAnsi="Times New Roman" w:cs="Times New Roman"/>
          <w:color w:val="000000" w:themeColor="text1"/>
          <w:sz w:val="24"/>
          <w:szCs w:val="24"/>
        </w:rPr>
      </w:pPr>
      <w:r w:rsidRPr="00D86A75">
        <w:rPr>
          <w:rFonts w:ascii="Times New Roman" w:hAnsi="Times New Roman" w:cs="Times New Roman"/>
          <w:sz w:val="24"/>
          <w:szCs w:val="24"/>
        </w:rPr>
        <w:t xml:space="preserve">1. </w:t>
      </w:r>
      <w:r w:rsidRPr="00D86A75">
        <w:rPr>
          <w:rFonts w:ascii="Times New Roman" w:hAnsi="Times New Roman" w:cs="Times New Roman"/>
          <w:color w:val="000000" w:themeColor="text1"/>
          <w:sz w:val="24"/>
          <w:szCs w:val="24"/>
        </w:rPr>
        <w:t xml:space="preserve">Olweus patyčių prevencijos programos drausminimo  </w:t>
      </w:r>
      <w:r w:rsidR="00A55B8F">
        <w:rPr>
          <w:rFonts w:ascii="Times New Roman" w:hAnsi="Times New Roman" w:cs="Times New Roman"/>
          <w:color w:val="000000" w:themeColor="text1"/>
          <w:sz w:val="24"/>
          <w:szCs w:val="24"/>
        </w:rPr>
        <w:t>kopė</w:t>
      </w:r>
      <w:r w:rsidR="00090ECC">
        <w:rPr>
          <w:rFonts w:ascii="Times New Roman" w:hAnsi="Times New Roman" w:cs="Times New Roman"/>
          <w:color w:val="000000" w:themeColor="text1"/>
          <w:sz w:val="24"/>
          <w:szCs w:val="24"/>
        </w:rPr>
        <w:t>tėlės</w:t>
      </w:r>
      <w:r w:rsidRPr="00D86A75">
        <w:rPr>
          <w:rFonts w:ascii="Times New Roman" w:hAnsi="Times New Roman" w:cs="Times New Roman"/>
          <w:color w:val="000000" w:themeColor="text1"/>
          <w:sz w:val="24"/>
          <w:szCs w:val="24"/>
        </w:rPr>
        <w:t xml:space="preserve"> – dokumentas, kuris apibūdina įvairias poveikio priemones, skir</w:t>
      </w:r>
      <w:r w:rsidR="00453403">
        <w:rPr>
          <w:rFonts w:ascii="Times New Roman" w:hAnsi="Times New Roman" w:cs="Times New Roman"/>
          <w:color w:val="000000" w:themeColor="text1"/>
          <w:sz w:val="24"/>
          <w:szCs w:val="24"/>
        </w:rPr>
        <w:t xml:space="preserve">tas mažinti patyčias ir smurtą </w:t>
      </w:r>
      <w:r w:rsidRPr="00D86A75">
        <w:rPr>
          <w:rFonts w:ascii="Times New Roman" w:hAnsi="Times New Roman" w:cs="Times New Roman"/>
          <w:color w:val="000000" w:themeColor="text1"/>
          <w:sz w:val="24"/>
          <w:szCs w:val="24"/>
        </w:rPr>
        <w:t>mokykloje</w:t>
      </w:r>
      <w:r w:rsidR="00B9707C">
        <w:rPr>
          <w:rFonts w:ascii="Times New Roman" w:hAnsi="Times New Roman" w:cs="Times New Roman"/>
          <w:color w:val="000000" w:themeColor="text1"/>
          <w:sz w:val="24"/>
          <w:szCs w:val="24"/>
        </w:rPr>
        <w:t>. Įvykiai registruojami registracijos žurnale (Priedas).</w:t>
      </w:r>
      <w:r w:rsidRPr="00D86A75">
        <w:rPr>
          <w:rFonts w:ascii="Times New Roman" w:hAnsi="Times New Roman" w:cs="Times New Roman"/>
          <w:color w:val="000000" w:themeColor="text1"/>
          <w:sz w:val="24"/>
          <w:szCs w:val="24"/>
        </w:rPr>
        <w:t xml:space="preserve"> </w:t>
      </w:r>
    </w:p>
    <w:p w:rsidR="00D86A75" w:rsidRPr="00D86A75" w:rsidRDefault="00A55B8F" w:rsidP="00453403">
      <w:pPr>
        <w:spacing w:after="0"/>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Šias drausminimo </w:t>
      </w:r>
      <w:r w:rsidR="00A03AF1">
        <w:rPr>
          <w:rFonts w:ascii="Times New Roman" w:hAnsi="Times New Roman" w:cs="Times New Roman"/>
          <w:color w:val="000000" w:themeColor="text1"/>
          <w:sz w:val="24"/>
          <w:szCs w:val="24"/>
        </w:rPr>
        <w:t>kopė</w:t>
      </w:r>
      <w:r w:rsidR="00D86A75" w:rsidRPr="00D86A75">
        <w:rPr>
          <w:rFonts w:ascii="Times New Roman" w:hAnsi="Times New Roman" w:cs="Times New Roman"/>
          <w:color w:val="000000" w:themeColor="text1"/>
          <w:sz w:val="24"/>
          <w:szCs w:val="24"/>
        </w:rPr>
        <w:t xml:space="preserve">tėles mokyklos </w:t>
      </w:r>
      <w:r w:rsidR="00090ECC">
        <w:rPr>
          <w:rFonts w:ascii="Times New Roman" w:hAnsi="Times New Roman" w:cs="Times New Roman"/>
          <w:color w:val="000000" w:themeColor="text1"/>
          <w:sz w:val="24"/>
          <w:szCs w:val="24"/>
        </w:rPr>
        <w:t xml:space="preserve">bendruomenė </w:t>
      </w:r>
      <w:r w:rsidR="00D86A75" w:rsidRPr="00D86A75">
        <w:rPr>
          <w:rFonts w:ascii="Times New Roman" w:hAnsi="Times New Roman" w:cs="Times New Roman"/>
          <w:color w:val="000000" w:themeColor="text1"/>
          <w:sz w:val="24"/>
          <w:szCs w:val="24"/>
        </w:rPr>
        <w:t>turi taikyti, kai įvyksta patyčios.</w:t>
      </w:r>
    </w:p>
    <w:p w:rsidR="00D86A75" w:rsidRPr="00D86A75" w:rsidRDefault="00090ECC" w:rsidP="00453403">
      <w:pPr>
        <w:spacing w:after="0"/>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Visa</w:t>
      </w:r>
      <w:r w:rsidR="00D86A75" w:rsidRPr="00D86A75">
        <w:rPr>
          <w:rFonts w:ascii="Times New Roman" w:hAnsi="Times New Roman" w:cs="Times New Roman"/>
          <w:color w:val="000000" w:themeColor="text1"/>
          <w:sz w:val="24"/>
          <w:szCs w:val="24"/>
        </w:rPr>
        <w:t xml:space="preserve"> mokyklos </w:t>
      </w:r>
      <w:r>
        <w:rPr>
          <w:rFonts w:ascii="Times New Roman" w:hAnsi="Times New Roman" w:cs="Times New Roman"/>
          <w:color w:val="000000" w:themeColor="text1"/>
          <w:sz w:val="24"/>
          <w:szCs w:val="24"/>
        </w:rPr>
        <w:t xml:space="preserve">bendruomenė </w:t>
      </w:r>
      <w:r w:rsidR="00D86A75" w:rsidRPr="00D86A75">
        <w:rPr>
          <w:rFonts w:ascii="Times New Roman" w:hAnsi="Times New Roman" w:cs="Times New Roman"/>
          <w:color w:val="000000" w:themeColor="text1"/>
          <w:sz w:val="24"/>
          <w:szCs w:val="24"/>
        </w:rPr>
        <w:t>privalo žinoti šias drausminimo</w:t>
      </w:r>
      <w:r w:rsidR="00A03AF1">
        <w:rPr>
          <w:rFonts w:ascii="Times New Roman" w:hAnsi="Times New Roman" w:cs="Times New Roman"/>
          <w:color w:val="000000" w:themeColor="text1"/>
          <w:sz w:val="24"/>
          <w:szCs w:val="24"/>
        </w:rPr>
        <w:t xml:space="preserve"> kopė</w:t>
      </w:r>
      <w:r w:rsidR="00D86A75" w:rsidRPr="00D86A75">
        <w:rPr>
          <w:rFonts w:ascii="Times New Roman" w:hAnsi="Times New Roman" w:cs="Times New Roman"/>
          <w:color w:val="000000" w:themeColor="text1"/>
          <w:sz w:val="24"/>
          <w:szCs w:val="24"/>
        </w:rPr>
        <w:t>tėles</w:t>
      </w:r>
      <w:r w:rsidR="00FA272F">
        <w:rPr>
          <w:rFonts w:ascii="Times New Roman" w:hAnsi="Times New Roman" w:cs="Times New Roman"/>
          <w:color w:val="000000" w:themeColor="text1"/>
          <w:sz w:val="24"/>
          <w:szCs w:val="24"/>
        </w:rPr>
        <w:t xml:space="preserve"> ir </w:t>
      </w:r>
      <w:r w:rsidR="00D86A75" w:rsidRPr="00D86A75">
        <w:rPr>
          <w:rFonts w:ascii="Times New Roman" w:hAnsi="Times New Roman" w:cs="Times New Roman"/>
          <w:color w:val="000000" w:themeColor="text1"/>
          <w:sz w:val="24"/>
          <w:szCs w:val="24"/>
        </w:rPr>
        <w:t xml:space="preserve">jomis naudotis, kai to prireikia.    </w:t>
      </w:r>
    </w:p>
    <w:p w:rsidR="00D86A75" w:rsidRPr="00D86A75" w:rsidRDefault="00A03AF1" w:rsidP="00453403">
      <w:pPr>
        <w:spacing w:after="0"/>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Drausminimo kopė</w:t>
      </w:r>
      <w:r w:rsidR="00453403">
        <w:rPr>
          <w:rFonts w:ascii="Times New Roman" w:hAnsi="Times New Roman" w:cs="Times New Roman"/>
          <w:color w:val="000000" w:themeColor="text1"/>
          <w:sz w:val="24"/>
          <w:szCs w:val="24"/>
        </w:rPr>
        <w:t xml:space="preserve">tėlės </w:t>
      </w:r>
      <w:r w:rsidR="00D86A75" w:rsidRPr="00D86A75">
        <w:rPr>
          <w:rFonts w:ascii="Times New Roman" w:hAnsi="Times New Roman" w:cs="Times New Roman"/>
          <w:color w:val="000000" w:themeColor="text1"/>
          <w:sz w:val="24"/>
          <w:szCs w:val="24"/>
        </w:rPr>
        <w:t>taikomos nuosekliai, laiptelis po laiptelio, tačiau jeigu yra padarytas kūno sužalojimas, akivaizdus psichologinis smurtas, turintis pasekmes mokiniui, iš kurio buvo tyčiojamasi, ar sugadintas vertingas daiktas, iškart t</w:t>
      </w:r>
      <w:r>
        <w:rPr>
          <w:rFonts w:ascii="Times New Roman" w:hAnsi="Times New Roman" w:cs="Times New Roman"/>
          <w:color w:val="000000" w:themeColor="text1"/>
          <w:sz w:val="24"/>
          <w:szCs w:val="24"/>
        </w:rPr>
        <w:t>aikomas trečias drausminimo kopė</w:t>
      </w:r>
      <w:r w:rsidR="00D86A75" w:rsidRPr="00D86A75">
        <w:rPr>
          <w:rFonts w:ascii="Times New Roman" w:hAnsi="Times New Roman" w:cs="Times New Roman"/>
          <w:color w:val="000000" w:themeColor="text1"/>
          <w:sz w:val="24"/>
          <w:szCs w:val="24"/>
        </w:rPr>
        <w:t>tėlių lygis. Atskirais ypatingais atvejais iš karto gali būti taikoma</w:t>
      </w:r>
      <w:r>
        <w:rPr>
          <w:rFonts w:ascii="Times New Roman" w:hAnsi="Times New Roman" w:cs="Times New Roman"/>
          <w:color w:val="000000" w:themeColor="text1"/>
          <w:sz w:val="24"/>
          <w:szCs w:val="24"/>
        </w:rPr>
        <w:t xml:space="preserve"> ir  aukštesnis drausminimo kopė</w:t>
      </w:r>
      <w:r w:rsidR="00D86A75" w:rsidRPr="00D86A75">
        <w:rPr>
          <w:rFonts w:ascii="Times New Roman" w:hAnsi="Times New Roman" w:cs="Times New Roman"/>
          <w:color w:val="000000" w:themeColor="text1"/>
          <w:sz w:val="24"/>
          <w:szCs w:val="24"/>
        </w:rPr>
        <w:t>tėlių lygis.</w:t>
      </w:r>
    </w:p>
    <w:p w:rsidR="00D86A75" w:rsidRPr="00D86A75" w:rsidRDefault="00D86A75" w:rsidP="00453403">
      <w:pPr>
        <w:spacing w:after="0"/>
        <w:ind w:firstLine="1134"/>
        <w:jc w:val="both"/>
        <w:rPr>
          <w:rFonts w:ascii="Times New Roman" w:hAnsi="Times New Roman" w:cs="Times New Roman"/>
          <w:color w:val="000000" w:themeColor="text1"/>
          <w:sz w:val="24"/>
          <w:szCs w:val="24"/>
        </w:rPr>
      </w:pPr>
      <w:r w:rsidRPr="00D86A75">
        <w:rPr>
          <w:rFonts w:ascii="Times New Roman" w:hAnsi="Times New Roman" w:cs="Times New Roman"/>
          <w:color w:val="000000" w:themeColor="text1"/>
          <w:sz w:val="24"/>
          <w:szCs w:val="24"/>
        </w:rPr>
        <w:t>5. Mokykla nepritaria patyčioms, kurios gali pasireikšti šiomis formomis:</w:t>
      </w:r>
    </w:p>
    <w:p w:rsidR="00D86A75" w:rsidRPr="00D86A75" w:rsidRDefault="00D86A75" w:rsidP="00453403">
      <w:pPr>
        <w:spacing w:after="0"/>
        <w:ind w:firstLine="1134"/>
        <w:jc w:val="both"/>
        <w:rPr>
          <w:rFonts w:ascii="Times New Roman" w:hAnsi="Times New Roman" w:cs="Times New Roman"/>
          <w:sz w:val="24"/>
          <w:szCs w:val="24"/>
        </w:rPr>
      </w:pPr>
      <w:r w:rsidRPr="00D86A75">
        <w:rPr>
          <w:rFonts w:ascii="Times New Roman" w:hAnsi="Times New Roman" w:cs="Times New Roman"/>
          <w:color w:val="000000" w:themeColor="text1"/>
          <w:sz w:val="24"/>
          <w:szCs w:val="24"/>
        </w:rPr>
        <w:t>5.1.</w:t>
      </w:r>
      <w:r w:rsidR="00A03AF1">
        <w:rPr>
          <w:rFonts w:ascii="Times New Roman" w:hAnsi="Times New Roman" w:cs="Times New Roman"/>
          <w:color w:val="000000" w:themeColor="text1"/>
          <w:sz w:val="24"/>
          <w:szCs w:val="24"/>
        </w:rPr>
        <w:t xml:space="preserve"> </w:t>
      </w:r>
      <w:r w:rsidR="00453403">
        <w:rPr>
          <w:rFonts w:ascii="Times New Roman" w:hAnsi="Times New Roman" w:cs="Times New Roman"/>
          <w:b/>
          <w:color w:val="000000" w:themeColor="text1"/>
          <w:sz w:val="24"/>
          <w:szCs w:val="24"/>
        </w:rPr>
        <w:t>Žodinės patyčios –</w:t>
      </w:r>
      <w:r w:rsidR="00D63330">
        <w:rPr>
          <w:rFonts w:ascii="Times New Roman" w:hAnsi="Times New Roman" w:cs="Times New Roman"/>
          <w:color w:val="000000" w:themeColor="text1"/>
          <w:sz w:val="24"/>
          <w:szCs w:val="24"/>
        </w:rPr>
        <w:t xml:space="preserve"> </w:t>
      </w:r>
      <w:r w:rsidR="00D63330" w:rsidRPr="00D63330">
        <w:rPr>
          <w:rFonts w:ascii="Times New Roman" w:hAnsi="Times New Roman" w:cs="Times New Roman"/>
          <w:color w:val="000000" w:themeColor="text1"/>
          <w:sz w:val="24"/>
          <w:szCs w:val="24"/>
        </w:rPr>
        <w:t>tai</w:t>
      </w:r>
      <w:r w:rsidRPr="00D86A75">
        <w:rPr>
          <w:rFonts w:ascii="Times New Roman" w:hAnsi="Times New Roman" w:cs="Times New Roman"/>
          <w:color w:val="000000" w:themeColor="text1"/>
          <w:sz w:val="24"/>
          <w:szCs w:val="24"/>
        </w:rPr>
        <w:t xml:space="preserve"> grasinimas</w:t>
      </w:r>
      <w:r w:rsidRPr="00D86A75">
        <w:rPr>
          <w:rFonts w:ascii="Times New Roman" w:hAnsi="Times New Roman" w:cs="Times New Roman"/>
          <w:sz w:val="24"/>
          <w:szCs w:val="24"/>
        </w:rPr>
        <w:t xml:space="preserve">, užgauliojimas, užkabinėjimas, erzinimas, žeminimas, užgauliojimas žodžiu ir užrašais, pašaipios replikos apie žmogaus kūną, religiją, tautybę, išvaizdą, </w:t>
      </w:r>
      <w:r w:rsidR="00453403">
        <w:rPr>
          <w:rFonts w:ascii="Times New Roman" w:hAnsi="Times New Roman" w:cs="Times New Roman"/>
          <w:sz w:val="24"/>
          <w:szCs w:val="24"/>
        </w:rPr>
        <w:t>„</w:t>
      </w:r>
      <w:r w:rsidRPr="00D86A75">
        <w:rPr>
          <w:rFonts w:ascii="Times New Roman" w:hAnsi="Times New Roman" w:cs="Times New Roman"/>
          <w:sz w:val="24"/>
          <w:szCs w:val="24"/>
        </w:rPr>
        <w:t>juokeliai”, užrašai apie vaiką, apkalbinėjimas, šmeižimas ir pan.</w:t>
      </w:r>
    </w:p>
    <w:p w:rsidR="00D86A75" w:rsidRPr="00D86A75" w:rsidRDefault="00D86A75" w:rsidP="00453403">
      <w:pPr>
        <w:spacing w:after="0"/>
        <w:ind w:firstLine="1134"/>
        <w:jc w:val="both"/>
        <w:rPr>
          <w:rFonts w:ascii="Times New Roman" w:hAnsi="Times New Roman" w:cs="Times New Roman"/>
          <w:sz w:val="24"/>
          <w:szCs w:val="24"/>
        </w:rPr>
      </w:pPr>
      <w:r w:rsidRPr="00D86A75">
        <w:rPr>
          <w:rFonts w:ascii="Times New Roman" w:hAnsi="Times New Roman" w:cs="Times New Roman"/>
          <w:sz w:val="24"/>
          <w:szCs w:val="24"/>
        </w:rPr>
        <w:t>5.2.</w:t>
      </w:r>
      <w:r w:rsidR="00A03AF1">
        <w:rPr>
          <w:rFonts w:ascii="Times New Roman" w:hAnsi="Times New Roman" w:cs="Times New Roman"/>
          <w:sz w:val="24"/>
          <w:szCs w:val="24"/>
        </w:rPr>
        <w:t xml:space="preserve"> </w:t>
      </w:r>
      <w:r w:rsidR="00D63330">
        <w:rPr>
          <w:rFonts w:ascii="Times New Roman" w:hAnsi="Times New Roman" w:cs="Times New Roman"/>
          <w:b/>
          <w:sz w:val="24"/>
          <w:szCs w:val="24"/>
        </w:rPr>
        <w:t xml:space="preserve">Fizinės </w:t>
      </w:r>
      <w:r w:rsidRPr="00D86A75">
        <w:rPr>
          <w:rFonts w:ascii="Times New Roman" w:hAnsi="Times New Roman" w:cs="Times New Roman"/>
          <w:b/>
          <w:sz w:val="24"/>
          <w:szCs w:val="24"/>
        </w:rPr>
        <w:t>patyč</w:t>
      </w:r>
      <w:r w:rsidR="00D63330">
        <w:rPr>
          <w:rFonts w:ascii="Times New Roman" w:hAnsi="Times New Roman" w:cs="Times New Roman"/>
          <w:b/>
          <w:sz w:val="24"/>
          <w:szCs w:val="24"/>
        </w:rPr>
        <w:t xml:space="preserve">ios </w:t>
      </w:r>
      <w:r w:rsidR="00453403">
        <w:rPr>
          <w:rFonts w:ascii="Times New Roman" w:hAnsi="Times New Roman" w:cs="Times New Roman"/>
          <w:sz w:val="24"/>
          <w:szCs w:val="24"/>
        </w:rPr>
        <w:t>–</w:t>
      </w:r>
      <w:r w:rsidR="00D63330">
        <w:rPr>
          <w:rFonts w:ascii="Times New Roman" w:hAnsi="Times New Roman" w:cs="Times New Roman"/>
          <w:sz w:val="24"/>
          <w:szCs w:val="24"/>
        </w:rPr>
        <w:t xml:space="preserve"> </w:t>
      </w:r>
      <w:r w:rsidR="00D63330" w:rsidRPr="00D63330">
        <w:rPr>
          <w:rFonts w:ascii="Times New Roman" w:hAnsi="Times New Roman" w:cs="Times New Roman"/>
          <w:sz w:val="24"/>
          <w:szCs w:val="24"/>
        </w:rPr>
        <w:t>tai</w:t>
      </w:r>
      <w:r w:rsidR="00D63330">
        <w:rPr>
          <w:rFonts w:ascii="Times New Roman" w:hAnsi="Times New Roman" w:cs="Times New Roman"/>
          <w:b/>
          <w:sz w:val="24"/>
          <w:szCs w:val="24"/>
        </w:rPr>
        <w:t xml:space="preserve"> </w:t>
      </w:r>
      <w:r w:rsidR="00D63330">
        <w:rPr>
          <w:rFonts w:ascii="Times New Roman" w:hAnsi="Times New Roman" w:cs="Times New Roman"/>
          <w:sz w:val="24"/>
          <w:szCs w:val="24"/>
        </w:rPr>
        <w:t xml:space="preserve">užgauliojimas veiksmais, </w:t>
      </w:r>
      <w:r w:rsidR="00D63330" w:rsidRPr="00D63330">
        <w:rPr>
          <w:rFonts w:ascii="Times New Roman" w:hAnsi="Times New Roman" w:cs="Times New Roman"/>
          <w:sz w:val="24"/>
          <w:szCs w:val="24"/>
        </w:rPr>
        <w:t>pargri</w:t>
      </w:r>
      <w:r w:rsidR="00D63330">
        <w:rPr>
          <w:rFonts w:ascii="Times New Roman" w:hAnsi="Times New Roman" w:cs="Times New Roman"/>
          <w:sz w:val="24"/>
          <w:szCs w:val="24"/>
        </w:rPr>
        <w:t>ovimas, įspyrimas ar spardymas,</w:t>
      </w:r>
      <w:r w:rsidR="00A03AF1">
        <w:rPr>
          <w:rFonts w:ascii="Times New Roman" w:hAnsi="Times New Roman" w:cs="Times New Roman"/>
          <w:sz w:val="24"/>
          <w:szCs w:val="24"/>
        </w:rPr>
        <w:t xml:space="preserve"> kumščiavimas, </w:t>
      </w:r>
      <w:r w:rsidR="00D63330" w:rsidRPr="00D63330">
        <w:rPr>
          <w:rFonts w:ascii="Times New Roman" w:hAnsi="Times New Roman" w:cs="Times New Roman"/>
          <w:sz w:val="24"/>
          <w:szCs w:val="24"/>
        </w:rPr>
        <w:t xml:space="preserve">stumdymas, rankos užlaužimas, </w:t>
      </w:r>
      <w:r w:rsidR="00D63330">
        <w:rPr>
          <w:rFonts w:ascii="Times New Roman" w:hAnsi="Times New Roman" w:cs="Times New Roman"/>
          <w:sz w:val="24"/>
          <w:szCs w:val="24"/>
        </w:rPr>
        <w:t xml:space="preserve">spjaudymas, daiktų gadinimas ir </w:t>
      </w:r>
      <w:r w:rsidR="00D63330" w:rsidRPr="00D63330">
        <w:rPr>
          <w:rFonts w:ascii="Times New Roman" w:hAnsi="Times New Roman" w:cs="Times New Roman"/>
          <w:sz w:val="24"/>
          <w:szCs w:val="24"/>
        </w:rPr>
        <w:t>atiminėjimas, drabužių gadinimas, plaukų pešiojimas, įgnybimas, sprigtas.</w:t>
      </w:r>
    </w:p>
    <w:p w:rsidR="00D86A75" w:rsidRPr="00D86A75" w:rsidRDefault="00D86A75" w:rsidP="00453403">
      <w:pPr>
        <w:spacing w:after="0"/>
        <w:ind w:firstLine="1134"/>
        <w:jc w:val="both"/>
        <w:rPr>
          <w:rFonts w:ascii="Times New Roman" w:hAnsi="Times New Roman" w:cs="Times New Roman"/>
          <w:sz w:val="24"/>
          <w:szCs w:val="24"/>
        </w:rPr>
      </w:pPr>
      <w:r w:rsidRPr="00D86A75">
        <w:rPr>
          <w:rFonts w:ascii="Times New Roman" w:hAnsi="Times New Roman" w:cs="Times New Roman"/>
          <w:sz w:val="24"/>
          <w:szCs w:val="24"/>
        </w:rPr>
        <w:t>5.3.</w:t>
      </w:r>
      <w:r w:rsidR="00A03AF1">
        <w:rPr>
          <w:rFonts w:ascii="Times New Roman" w:hAnsi="Times New Roman" w:cs="Times New Roman"/>
          <w:sz w:val="24"/>
          <w:szCs w:val="24"/>
        </w:rPr>
        <w:t xml:space="preserve"> </w:t>
      </w:r>
      <w:r w:rsidR="00453403">
        <w:rPr>
          <w:rFonts w:ascii="Times New Roman" w:hAnsi="Times New Roman" w:cs="Times New Roman"/>
          <w:b/>
          <w:sz w:val="24"/>
          <w:szCs w:val="24"/>
        </w:rPr>
        <w:t>Elektroninės patyčios –</w:t>
      </w:r>
      <w:r w:rsidR="00D63330">
        <w:rPr>
          <w:rFonts w:ascii="Times New Roman" w:hAnsi="Times New Roman" w:cs="Times New Roman"/>
          <w:b/>
          <w:sz w:val="24"/>
          <w:szCs w:val="24"/>
        </w:rPr>
        <w:t xml:space="preserve"> </w:t>
      </w:r>
      <w:r w:rsidR="00D63330" w:rsidRPr="00D63330">
        <w:rPr>
          <w:rFonts w:ascii="Times New Roman" w:hAnsi="Times New Roman" w:cs="Times New Roman"/>
          <w:sz w:val="24"/>
          <w:szCs w:val="24"/>
        </w:rPr>
        <w:t>tai</w:t>
      </w:r>
      <w:r w:rsidRPr="00D86A75">
        <w:rPr>
          <w:rFonts w:ascii="Times New Roman" w:hAnsi="Times New Roman" w:cs="Times New Roman"/>
          <w:sz w:val="24"/>
          <w:szCs w:val="24"/>
        </w:rPr>
        <w:t xml:space="preserve"> skaudinančių ir gąsdinančių asmeninių tekstinių žinučių ir paveikslėlių siuntinėjimas, viešas gandų skleidimas, asmeninių duomenų ir komentarų skelbimas. Galimos tiesioginės elektroninės patyčios, kai žinutės ar vaizdai siunčiami tiesiogiai, ir netiesioginės, kai asmuo net nenutuokia apie jį liečiančias kitiems siunčiamas žinutes ir vaizdus. </w:t>
      </w:r>
    </w:p>
    <w:p w:rsidR="00D86A75" w:rsidRDefault="00D86A75" w:rsidP="00453403">
      <w:pPr>
        <w:spacing w:after="0"/>
        <w:ind w:firstLine="1134"/>
        <w:jc w:val="both"/>
        <w:rPr>
          <w:rFonts w:ascii="Times New Roman" w:hAnsi="Times New Roman" w:cs="Times New Roman"/>
          <w:sz w:val="24"/>
          <w:szCs w:val="24"/>
        </w:rPr>
      </w:pPr>
      <w:r w:rsidRPr="00D86A75">
        <w:rPr>
          <w:rFonts w:ascii="Times New Roman" w:hAnsi="Times New Roman" w:cs="Times New Roman"/>
          <w:sz w:val="24"/>
          <w:szCs w:val="24"/>
        </w:rPr>
        <w:t>5.4</w:t>
      </w:r>
      <w:r w:rsidRPr="00D86A75">
        <w:rPr>
          <w:rFonts w:ascii="Times New Roman" w:hAnsi="Times New Roman" w:cs="Times New Roman"/>
          <w:b/>
          <w:sz w:val="24"/>
          <w:szCs w:val="24"/>
        </w:rPr>
        <w:t>. Sudėtinės</w:t>
      </w:r>
      <w:r w:rsidR="00453403">
        <w:rPr>
          <w:rFonts w:ascii="Times New Roman" w:hAnsi="Times New Roman" w:cs="Times New Roman"/>
          <w:sz w:val="24"/>
          <w:szCs w:val="24"/>
        </w:rPr>
        <w:t xml:space="preserve"> –</w:t>
      </w:r>
      <w:r w:rsidR="00D63330">
        <w:rPr>
          <w:rFonts w:ascii="Times New Roman" w:hAnsi="Times New Roman" w:cs="Times New Roman"/>
          <w:sz w:val="24"/>
          <w:szCs w:val="24"/>
        </w:rPr>
        <w:t xml:space="preserve"> a</w:t>
      </w:r>
      <w:r w:rsidRPr="00D86A75">
        <w:rPr>
          <w:rFonts w:ascii="Times New Roman" w:hAnsi="Times New Roman" w:cs="Times New Roman"/>
          <w:sz w:val="24"/>
          <w:szCs w:val="24"/>
        </w:rPr>
        <w:t>pima ir fizines, ir žodines patyčias, pavyzdžiui, socialinę izoliaciją arba tyčinę atskirtį, gandų skleidimą, gero vardo gadinimą, už nugaros rodomas mimikas arba nepadorius gestus, manipuliavimą draugyste arba kitais santykiais, reketą.</w:t>
      </w:r>
    </w:p>
    <w:p w:rsidR="00D63330" w:rsidRPr="00D86A75" w:rsidRDefault="00D63330" w:rsidP="00453403">
      <w:pPr>
        <w:spacing w:after="0"/>
        <w:ind w:firstLine="1134"/>
        <w:jc w:val="both"/>
        <w:rPr>
          <w:rFonts w:ascii="Times New Roman" w:hAnsi="Times New Roman" w:cs="Times New Roman"/>
          <w:sz w:val="24"/>
          <w:szCs w:val="24"/>
        </w:rPr>
      </w:pPr>
      <w:r>
        <w:rPr>
          <w:rFonts w:ascii="Times New Roman" w:hAnsi="Times New Roman" w:cs="Times New Roman"/>
          <w:sz w:val="24"/>
          <w:szCs w:val="24"/>
        </w:rPr>
        <w:t>5.5.</w:t>
      </w:r>
      <w:r w:rsidRPr="00D63330">
        <w:rPr>
          <w:rFonts w:ascii="Times New Roman" w:hAnsi="Times New Roman" w:cs="Times New Roman"/>
          <w:b/>
          <w:sz w:val="24"/>
          <w:szCs w:val="24"/>
        </w:rPr>
        <w:t>Socialinės patyčios</w:t>
      </w:r>
      <w:r w:rsidR="00453403">
        <w:rPr>
          <w:rFonts w:ascii="Times New Roman" w:hAnsi="Times New Roman" w:cs="Times New Roman"/>
          <w:sz w:val="24"/>
          <w:szCs w:val="24"/>
        </w:rPr>
        <w:t xml:space="preserve"> </w:t>
      </w:r>
      <w:r w:rsidRPr="00D63330">
        <w:rPr>
          <w:rFonts w:ascii="Times New Roman" w:hAnsi="Times New Roman" w:cs="Times New Roman"/>
          <w:sz w:val="24"/>
          <w:szCs w:val="24"/>
        </w:rPr>
        <w:t>– tai ignoravimas, siekiant parodyti, kad vaikas yra nepageidaujamas ar atstumiamas.</w:t>
      </w:r>
    </w:p>
    <w:p w:rsidR="00D86A75" w:rsidRPr="00D86A75" w:rsidRDefault="00453403" w:rsidP="00453403">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6. Patyčios/smurtas </w:t>
      </w:r>
      <w:r w:rsidR="00D86A75" w:rsidRPr="00D86A75">
        <w:rPr>
          <w:rFonts w:ascii="Times New Roman" w:hAnsi="Times New Roman" w:cs="Times New Roman"/>
          <w:sz w:val="24"/>
          <w:szCs w:val="24"/>
        </w:rPr>
        <w:t xml:space="preserve">bus </w:t>
      </w:r>
      <w:r w:rsidR="00EF1143">
        <w:rPr>
          <w:rFonts w:ascii="Times New Roman" w:hAnsi="Times New Roman" w:cs="Times New Roman"/>
          <w:sz w:val="24"/>
          <w:szCs w:val="24"/>
        </w:rPr>
        <w:t>nutraukiami</w:t>
      </w:r>
      <w:r w:rsidR="00D86A75" w:rsidRPr="00D86A75">
        <w:rPr>
          <w:rFonts w:ascii="Times New Roman" w:hAnsi="Times New Roman" w:cs="Times New Roman"/>
          <w:sz w:val="24"/>
          <w:szCs w:val="24"/>
        </w:rPr>
        <w:t>, o besityčiojusiems mokiniams bus taikomos atitinkamos poveikio priemonės:</w:t>
      </w:r>
    </w:p>
    <w:p w:rsidR="00D86A75" w:rsidRPr="00D86A75" w:rsidRDefault="00D86A75" w:rsidP="00453403">
      <w:pPr>
        <w:ind w:firstLine="1134"/>
        <w:rPr>
          <w:rFonts w:ascii="Times New Roman" w:hAnsi="Times New Roman" w:cs="Times New Roman"/>
          <w:color w:val="0070C0"/>
          <w:sz w:val="40"/>
          <w:szCs w:val="40"/>
          <w:lang w:val="en-US"/>
        </w:rPr>
      </w:pPr>
    </w:p>
    <w:p w:rsidR="00D86A75" w:rsidRPr="00D86A75" w:rsidRDefault="00D86A75" w:rsidP="00D86A75">
      <w:pPr>
        <w:rPr>
          <w:rFonts w:ascii="Times New Roman" w:hAnsi="Times New Roman" w:cs="Times New Roman"/>
          <w:color w:val="0070C0"/>
          <w:sz w:val="40"/>
          <w:szCs w:val="40"/>
          <w:lang w:val="en-US"/>
        </w:rPr>
      </w:pPr>
    </w:p>
    <w:p w:rsidR="00D9587F" w:rsidRDefault="00D9587F" w:rsidP="00090ECC"/>
    <w:p w:rsidR="00D9587F" w:rsidRDefault="00D9587F" w:rsidP="00EA1B1C">
      <w:pPr>
        <w:pStyle w:val="Sraopastraipa"/>
      </w:pPr>
    </w:p>
    <w:p w:rsidR="00A55B8F" w:rsidRDefault="00A55B8F" w:rsidP="00A55B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55B8F" w:rsidRPr="00A55B8F" w:rsidRDefault="00A55B8F" w:rsidP="00A55B8F">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668"/>
        <w:gridCol w:w="8186"/>
      </w:tblGrid>
      <w:tr w:rsidR="00090ECC" w:rsidTr="00090ECC">
        <w:tc>
          <w:tcPr>
            <w:tcW w:w="1668" w:type="dxa"/>
          </w:tcPr>
          <w:p w:rsidR="00090ECC" w:rsidRDefault="00090ECC" w:rsidP="00090ECC">
            <w:pPr>
              <w:jc w:val="center"/>
            </w:pPr>
            <w:r w:rsidRPr="00E41562">
              <w:rPr>
                <w:rFonts w:ascii="Times New Roman" w:hAnsi="Times New Roman" w:cs="Times New Roman"/>
                <w:b/>
                <w:color w:val="000000" w:themeColor="text1"/>
                <w:sz w:val="24"/>
                <w:szCs w:val="24"/>
              </w:rPr>
              <w:t>Kopėtėlės (patyčių lygis)</w:t>
            </w:r>
          </w:p>
        </w:tc>
        <w:tc>
          <w:tcPr>
            <w:tcW w:w="8186" w:type="dxa"/>
          </w:tcPr>
          <w:p w:rsidR="00090ECC" w:rsidRDefault="00090ECC" w:rsidP="00090ECC">
            <w:pPr>
              <w:jc w:val="center"/>
            </w:pPr>
            <w:r w:rsidRPr="00E41562">
              <w:rPr>
                <w:rFonts w:ascii="Times New Roman" w:hAnsi="Times New Roman" w:cs="Times New Roman"/>
                <w:b/>
                <w:color w:val="000000" w:themeColor="text1"/>
                <w:sz w:val="24"/>
                <w:szCs w:val="24"/>
              </w:rPr>
              <w:t>Drausminimo priemonės</w:t>
            </w:r>
          </w:p>
        </w:tc>
      </w:tr>
      <w:tr w:rsidR="00090ECC" w:rsidTr="00090ECC">
        <w:tc>
          <w:tcPr>
            <w:tcW w:w="1668" w:type="dxa"/>
          </w:tcPr>
          <w:p w:rsidR="00090ECC" w:rsidRPr="00090ECC" w:rsidRDefault="00090ECC" w:rsidP="00090ECC">
            <w:pPr>
              <w:jc w:val="center"/>
              <w:rPr>
                <w:rFonts w:ascii="Times New Roman" w:hAnsi="Times New Roman" w:cs="Times New Roman"/>
                <w:b/>
                <w:sz w:val="24"/>
                <w:szCs w:val="24"/>
              </w:rPr>
            </w:pPr>
            <w:r w:rsidRPr="00090ECC">
              <w:rPr>
                <w:rFonts w:ascii="Times New Roman" w:hAnsi="Times New Roman" w:cs="Times New Roman"/>
                <w:b/>
                <w:sz w:val="24"/>
                <w:szCs w:val="24"/>
              </w:rPr>
              <w:t>1.</w:t>
            </w:r>
          </w:p>
        </w:tc>
        <w:tc>
          <w:tcPr>
            <w:tcW w:w="8186" w:type="dxa"/>
          </w:tcPr>
          <w:p w:rsidR="00090ECC" w:rsidRPr="00090ECC" w:rsidRDefault="00090ECC" w:rsidP="00090ECC">
            <w:pPr>
              <w:jc w:val="both"/>
              <w:rPr>
                <w:rFonts w:ascii="Times New Roman" w:hAnsi="Times New Roman" w:cs="Times New Roman"/>
                <w:sz w:val="24"/>
                <w:szCs w:val="24"/>
              </w:rPr>
            </w:pPr>
            <w:r w:rsidRPr="00090ECC">
              <w:rPr>
                <w:rFonts w:ascii="Times New Roman" w:hAnsi="Times New Roman" w:cs="Times New Roman"/>
                <w:sz w:val="24"/>
                <w:szCs w:val="24"/>
              </w:rPr>
              <w:t>Moky</w:t>
            </w:r>
            <w:r w:rsidR="00FD535F">
              <w:rPr>
                <w:rFonts w:ascii="Times New Roman" w:hAnsi="Times New Roman" w:cs="Times New Roman"/>
                <w:sz w:val="24"/>
                <w:szCs w:val="24"/>
              </w:rPr>
              <w:t>tojas ar gimnazijos darbuotojas</w:t>
            </w:r>
            <w:r w:rsidRPr="00090ECC">
              <w:rPr>
                <w:rFonts w:ascii="Times New Roman" w:hAnsi="Times New Roman" w:cs="Times New Roman"/>
                <w:sz w:val="24"/>
                <w:szCs w:val="24"/>
              </w:rPr>
              <w:t>,</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pastebėjęs patyčias,</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sustabdo besityčiojantį mokinį, įspėja žodžiu apie netinkamą jo elgesį, įvykį užfiksuoja Patyčių registracijos žurnale, infor</w:t>
            </w:r>
            <w:r w:rsidR="00EF1143">
              <w:rPr>
                <w:rFonts w:ascii="Times New Roman" w:hAnsi="Times New Roman" w:cs="Times New Roman"/>
                <w:sz w:val="24"/>
                <w:szCs w:val="24"/>
              </w:rPr>
              <w:t>muoja klasės auklėtoją/socialinį</w:t>
            </w:r>
            <w:r w:rsidRPr="00090ECC">
              <w:rPr>
                <w:rFonts w:ascii="Times New Roman" w:hAnsi="Times New Roman" w:cs="Times New Roman"/>
                <w:sz w:val="24"/>
                <w:szCs w:val="24"/>
              </w:rPr>
              <w:t xml:space="preserve"> pedagogą.</w:t>
            </w:r>
          </w:p>
          <w:p w:rsidR="00090ECC" w:rsidRDefault="00090ECC" w:rsidP="00090ECC"/>
        </w:tc>
      </w:tr>
      <w:tr w:rsidR="00090ECC" w:rsidTr="00090ECC">
        <w:tc>
          <w:tcPr>
            <w:tcW w:w="1668" w:type="dxa"/>
          </w:tcPr>
          <w:p w:rsidR="00090ECC" w:rsidRPr="00090ECC" w:rsidRDefault="00090ECC" w:rsidP="00090ECC">
            <w:pPr>
              <w:jc w:val="center"/>
              <w:rPr>
                <w:rFonts w:ascii="Times New Roman" w:hAnsi="Times New Roman" w:cs="Times New Roman"/>
                <w:b/>
                <w:sz w:val="24"/>
                <w:szCs w:val="24"/>
              </w:rPr>
            </w:pPr>
            <w:r w:rsidRPr="00090ECC">
              <w:rPr>
                <w:rFonts w:ascii="Times New Roman" w:hAnsi="Times New Roman" w:cs="Times New Roman"/>
                <w:b/>
                <w:sz w:val="24"/>
                <w:szCs w:val="24"/>
              </w:rPr>
              <w:t>2.</w:t>
            </w:r>
          </w:p>
        </w:tc>
        <w:tc>
          <w:tcPr>
            <w:tcW w:w="8186" w:type="dxa"/>
          </w:tcPr>
          <w:p w:rsidR="00090ECC" w:rsidRPr="00090ECC" w:rsidRDefault="00090ECC" w:rsidP="00090ECC">
            <w:pPr>
              <w:jc w:val="both"/>
              <w:rPr>
                <w:rFonts w:ascii="Times New Roman" w:hAnsi="Times New Roman" w:cs="Times New Roman"/>
                <w:sz w:val="24"/>
                <w:szCs w:val="24"/>
              </w:rPr>
            </w:pPr>
            <w:r w:rsidRPr="00090ECC">
              <w:rPr>
                <w:rFonts w:ascii="Times New Roman" w:hAnsi="Times New Roman" w:cs="Times New Roman"/>
                <w:sz w:val="24"/>
                <w:szCs w:val="24"/>
              </w:rPr>
              <w:t>Pasikartojus patyčių situacijai,</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klasės auklėtojas/socialinis pedagogas kalbasi su mok</w:t>
            </w:r>
            <w:r w:rsidR="00A03AF1">
              <w:rPr>
                <w:rFonts w:ascii="Times New Roman" w:hAnsi="Times New Roman" w:cs="Times New Roman"/>
                <w:sz w:val="24"/>
                <w:szCs w:val="24"/>
              </w:rPr>
              <w:t xml:space="preserve">iniu dėl jo netinkamo </w:t>
            </w:r>
            <w:r w:rsidR="00EF1143">
              <w:rPr>
                <w:rFonts w:ascii="Times New Roman" w:hAnsi="Times New Roman" w:cs="Times New Roman"/>
                <w:sz w:val="24"/>
                <w:szCs w:val="24"/>
              </w:rPr>
              <w:t>elgesio.</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Įvykis fiksuojamas Patyčių registracijos žurnale.</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Es</w:t>
            </w:r>
            <w:r w:rsidR="00A03AF1">
              <w:rPr>
                <w:rFonts w:ascii="Times New Roman" w:hAnsi="Times New Roman" w:cs="Times New Roman"/>
                <w:sz w:val="24"/>
                <w:szCs w:val="24"/>
              </w:rPr>
              <w:t xml:space="preserve">ant mokinio vardu užfiksuotiems </w:t>
            </w:r>
            <w:r w:rsidRPr="00090ECC">
              <w:rPr>
                <w:rFonts w:ascii="Times New Roman" w:hAnsi="Times New Roman" w:cs="Times New Roman"/>
                <w:sz w:val="24"/>
                <w:szCs w:val="24"/>
              </w:rPr>
              <w:t>2 patyčių atvejams, socialinis pedagogas informuoja mokinio tėvus/ globėjus apie mokinio netinkamą elgesį.</w:t>
            </w:r>
          </w:p>
          <w:p w:rsidR="00090ECC" w:rsidRDefault="00090ECC" w:rsidP="00090ECC"/>
        </w:tc>
      </w:tr>
      <w:tr w:rsidR="00090ECC" w:rsidTr="00090ECC">
        <w:tc>
          <w:tcPr>
            <w:tcW w:w="1668" w:type="dxa"/>
          </w:tcPr>
          <w:p w:rsidR="00090ECC" w:rsidRPr="00090ECC" w:rsidRDefault="00090ECC" w:rsidP="00090ECC">
            <w:pPr>
              <w:jc w:val="center"/>
              <w:rPr>
                <w:rFonts w:ascii="Times New Roman" w:hAnsi="Times New Roman" w:cs="Times New Roman"/>
                <w:b/>
                <w:sz w:val="24"/>
                <w:szCs w:val="24"/>
              </w:rPr>
            </w:pPr>
            <w:r w:rsidRPr="00090ECC">
              <w:rPr>
                <w:rFonts w:ascii="Times New Roman" w:hAnsi="Times New Roman" w:cs="Times New Roman"/>
                <w:b/>
                <w:sz w:val="24"/>
                <w:szCs w:val="24"/>
              </w:rPr>
              <w:t>3.</w:t>
            </w:r>
          </w:p>
        </w:tc>
        <w:tc>
          <w:tcPr>
            <w:tcW w:w="8186" w:type="dxa"/>
          </w:tcPr>
          <w:p w:rsidR="00090ECC" w:rsidRPr="00090ECC" w:rsidRDefault="00090ECC" w:rsidP="00090ECC">
            <w:pPr>
              <w:jc w:val="both"/>
              <w:rPr>
                <w:rFonts w:ascii="Times New Roman" w:hAnsi="Times New Roman" w:cs="Times New Roman"/>
                <w:sz w:val="24"/>
                <w:szCs w:val="24"/>
              </w:rPr>
            </w:pPr>
            <w:r w:rsidRPr="00090ECC">
              <w:rPr>
                <w:rFonts w:ascii="Times New Roman" w:hAnsi="Times New Roman" w:cs="Times New Roman"/>
                <w:sz w:val="24"/>
                <w:szCs w:val="24"/>
              </w:rPr>
              <w:t>Esant 3 užfiksuotiems  patyčių atvejams socialinis pedagogas inicijuoja susitikimą su netinkamai besielgiančio mokinio tėvais (globėjais, rūpintojais), klasės auklėtoju, gimnazijos administracijos atstovu. Probleminės situacijos ir elgesio priežasčių analizė.</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Pagalbos būdų aptarimas ir sutarties sudarymas.</w:t>
            </w:r>
          </w:p>
          <w:p w:rsidR="00090ECC" w:rsidRDefault="00090ECC" w:rsidP="00090ECC">
            <w:pPr>
              <w:pStyle w:val="Sraopastraipa"/>
              <w:jc w:val="both"/>
            </w:pPr>
          </w:p>
        </w:tc>
      </w:tr>
      <w:tr w:rsidR="00090ECC" w:rsidTr="00090ECC">
        <w:tc>
          <w:tcPr>
            <w:tcW w:w="1668" w:type="dxa"/>
          </w:tcPr>
          <w:p w:rsidR="00090ECC" w:rsidRPr="00090ECC" w:rsidRDefault="00090ECC" w:rsidP="00090ECC">
            <w:pPr>
              <w:jc w:val="center"/>
              <w:rPr>
                <w:rFonts w:ascii="Times New Roman" w:hAnsi="Times New Roman" w:cs="Times New Roman"/>
                <w:b/>
                <w:sz w:val="24"/>
                <w:szCs w:val="24"/>
              </w:rPr>
            </w:pPr>
            <w:r w:rsidRPr="00090ECC">
              <w:rPr>
                <w:rFonts w:ascii="Times New Roman" w:hAnsi="Times New Roman" w:cs="Times New Roman"/>
                <w:b/>
                <w:sz w:val="24"/>
                <w:szCs w:val="24"/>
              </w:rPr>
              <w:t>4.</w:t>
            </w:r>
          </w:p>
        </w:tc>
        <w:tc>
          <w:tcPr>
            <w:tcW w:w="8186" w:type="dxa"/>
          </w:tcPr>
          <w:p w:rsidR="00090ECC" w:rsidRPr="00090ECC" w:rsidRDefault="00090ECC" w:rsidP="00090ECC">
            <w:pPr>
              <w:jc w:val="both"/>
              <w:rPr>
                <w:rFonts w:ascii="Times New Roman" w:hAnsi="Times New Roman" w:cs="Times New Roman"/>
                <w:sz w:val="24"/>
                <w:szCs w:val="24"/>
              </w:rPr>
            </w:pPr>
            <w:r w:rsidRPr="00090ECC">
              <w:rPr>
                <w:rFonts w:ascii="Times New Roman" w:hAnsi="Times New Roman" w:cs="Times New Roman"/>
                <w:sz w:val="24"/>
                <w:szCs w:val="24"/>
              </w:rPr>
              <w:t>Kartojantis patyčių atvejams, netinkamas mokinio elgesys yra svarstomas</w:t>
            </w:r>
            <w:r>
              <w:rPr>
                <w:rFonts w:ascii="Times New Roman" w:hAnsi="Times New Roman" w:cs="Times New Roman"/>
                <w:sz w:val="24"/>
                <w:szCs w:val="24"/>
              </w:rPr>
              <w:t xml:space="preserve"> gimnazijos </w:t>
            </w:r>
            <w:r w:rsidRPr="00090ECC">
              <w:rPr>
                <w:rFonts w:ascii="Times New Roman" w:hAnsi="Times New Roman" w:cs="Times New Roman"/>
                <w:sz w:val="24"/>
                <w:szCs w:val="24"/>
              </w:rPr>
              <w:t>Vaiko gerovės komisijoje, dalyvaujant mokiniui, mokinio tėvams/globėjams, švietimo pagalbos specialistams.</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Teikiami pasiūlymai dėl mokinio elgesio korekcijos,</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siūlomos psichologo konsultacijos.</w:t>
            </w:r>
            <w:r w:rsidR="00A03AF1">
              <w:rPr>
                <w:rFonts w:ascii="Times New Roman" w:hAnsi="Times New Roman" w:cs="Times New Roman"/>
                <w:sz w:val="24"/>
                <w:szCs w:val="24"/>
              </w:rPr>
              <w:t xml:space="preserve"> </w:t>
            </w:r>
            <w:r w:rsidRPr="00090ECC">
              <w:rPr>
                <w:rFonts w:ascii="Times New Roman" w:hAnsi="Times New Roman" w:cs="Times New Roman"/>
                <w:sz w:val="24"/>
                <w:szCs w:val="24"/>
              </w:rPr>
              <w:t>Informuojama, jog per dvi savaites nuo posėdžio nepakitus mokinio elgesiui bus kreipiamasi į atitinkam</w:t>
            </w:r>
            <w:r w:rsidR="00EF1143">
              <w:rPr>
                <w:rFonts w:ascii="Times New Roman" w:hAnsi="Times New Roman" w:cs="Times New Roman"/>
                <w:sz w:val="24"/>
                <w:szCs w:val="24"/>
              </w:rPr>
              <w:t>a</w:t>
            </w:r>
            <w:r w:rsidRPr="00090ECC">
              <w:rPr>
                <w:rFonts w:ascii="Times New Roman" w:hAnsi="Times New Roman" w:cs="Times New Roman"/>
                <w:sz w:val="24"/>
                <w:szCs w:val="24"/>
              </w:rPr>
              <w:t>s tarnybas, ieškant kitų pagalbos būdų.</w:t>
            </w:r>
          </w:p>
          <w:p w:rsidR="00090ECC" w:rsidRPr="00090ECC" w:rsidRDefault="00090ECC" w:rsidP="00090ECC">
            <w:pPr>
              <w:jc w:val="both"/>
              <w:rPr>
                <w:rFonts w:ascii="Times New Roman" w:hAnsi="Times New Roman" w:cs="Times New Roman"/>
                <w:sz w:val="24"/>
                <w:szCs w:val="24"/>
              </w:rPr>
            </w:pPr>
          </w:p>
        </w:tc>
      </w:tr>
      <w:tr w:rsidR="00090ECC" w:rsidTr="00090ECC">
        <w:tc>
          <w:tcPr>
            <w:tcW w:w="1668" w:type="dxa"/>
          </w:tcPr>
          <w:p w:rsidR="00090ECC" w:rsidRPr="00090ECC" w:rsidRDefault="00090ECC" w:rsidP="00090ECC">
            <w:pPr>
              <w:jc w:val="center"/>
              <w:rPr>
                <w:rFonts w:ascii="Times New Roman" w:hAnsi="Times New Roman" w:cs="Times New Roman"/>
                <w:b/>
                <w:sz w:val="24"/>
                <w:szCs w:val="24"/>
              </w:rPr>
            </w:pPr>
            <w:r w:rsidRPr="00090ECC">
              <w:rPr>
                <w:rFonts w:ascii="Times New Roman" w:hAnsi="Times New Roman" w:cs="Times New Roman"/>
                <w:b/>
                <w:sz w:val="24"/>
                <w:szCs w:val="24"/>
              </w:rPr>
              <w:t>5.</w:t>
            </w:r>
          </w:p>
        </w:tc>
        <w:tc>
          <w:tcPr>
            <w:tcW w:w="8186" w:type="dxa"/>
          </w:tcPr>
          <w:p w:rsidR="00090ECC" w:rsidRPr="00090ECC" w:rsidRDefault="00090ECC" w:rsidP="00090ECC">
            <w:pPr>
              <w:jc w:val="both"/>
              <w:rPr>
                <w:rFonts w:ascii="Times New Roman" w:hAnsi="Times New Roman" w:cs="Times New Roman"/>
                <w:sz w:val="24"/>
                <w:szCs w:val="24"/>
              </w:rPr>
            </w:pPr>
            <w:r w:rsidRPr="00090ECC">
              <w:rPr>
                <w:rFonts w:ascii="Times New Roman" w:hAnsi="Times New Roman" w:cs="Times New Roman"/>
                <w:sz w:val="24"/>
                <w:szCs w:val="24"/>
              </w:rPr>
              <w:t>Kartojantis netinkamam mokinio  elgesiui, kreipiamasi į Vaiko teisių apsaugos skyrių, tarpinstitucinio bendradarbiavimo  koordinatorių, Joniškio r. savivaldybės administraciją dėl pagalbos priemonių skyrimo ir galimų situacijos sprendimo būdų.</w:t>
            </w:r>
          </w:p>
          <w:p w:rsidR="00090ECC" w:rsidRDefault="00090ECC" w:rsidP="00090ECC"/>
        </w:tc>
      </w:tr>
      <w:tr w:rsidR="00090ECC" w:rsidTr="00090ECC">
        <w:tc>
          <w:tcPr>
            <w:tcW w:w="1668" w:type="dxa"/>
          </w:tcPr>
          <w:p w:rsidR="00090ECC" w:rsidRPr="00090ECC" w:rsidRDefault="00090ECC" w:rsidP="00090ECC">
            <w:pPr>
              <w:jc w:val="center"/>
              <w:rPr>
                <w:rFonts w:ascii="Times New Roman" w:hAnsi="Times New Roman" w:cs="Times New Roman"/>
                <w:b/>
                <w:sz w:val="24"/>
                <w:szCs w:val="24"/>
              </w:rPr>
            </w:pPr>
            <w:r w:rsidRPr="00090ECC">
              <w:rPr>
                <w:rFonts w:ascii="Times New Roman" w:hAnsi="Times New Roman" w:cs="Times New Roman"/>
                <w:b/>
                <w:sz w:val="24"/>
                <w:szCs w:val="24"/>
              </w:rPr>
              <w:t>6.</w:t>
            </w:r>
          </w:p>
        </w:tc>
        <w:tc>
          <w:tcPr>
            <w:tcW w:w="8186" w:type="dxa"/>
          </w:tcPr>
          <w:p w:rsidR="00090ECC" w:rsidRPr="00090ECC" w:rsidRDefault="00090ECC" w:rsidP="00090ECC">
            <w:pPr>
              <w:jc w:val="both"/>
              <w:rPr>
                <w:rFonts w:ascii="Times New Roman" w:hAnsi="Times New Roman" w:cs="Times New Roman"/>
                <w:sz w:val="24"/>
                <w:szCs w:val="24"/>
              </w:rPr>
            </w:pPr>
            <w:r w:rsidRPr="00090ECC">
              <w:rPr>
                <w:rFonts w:ascii="Times New Roman" w:hAnsi="Times New Roman" w:cs="Times New Roman"/>
                <w:sz w:val="24"/>
                <w:szCs w:val="24"/>
              </w:rPr>
              <w:t>Atvejis aptariamas gimnazijos Taryboje, netinkamai besielgiančiam mokiniui siūloma keisti ugdymo įstaigą.</w:t>
            </w:r>
          </w:p>
          <w:p w:rsidR="00090ECC" w:rsidRDefault="00090ECC" w:rsidP="00090ECC"/>
        </w:tc>
      </w:tr>
    </w:tbl>
    <w:p w:rsidR="00D9587F" w:rsidRDefault="00D9587F" w:rsidP="00090ECC"/>
    <w:p w:rsidR="00FD535F" w:rsidRDefault="00FD535F" w:rsidP="00090ECC"/>
    <w:p w:rsidR="00FD535F" w:rsidRDefault="00FD535F" w:rsidP="00090ECC"/>
    <w:p w:rsidR="00105B3E" w:rsidRDefault="00105B3E" w:rsidP="00105B3E">
      <w:pPr>
        <w:rPr>
          <w:rFonts w:ascii="Times New Roman" w:hAnsi="Times New Roman" w:cs="Times New Roman"/>
          <w:sz w:val="24"/>
          <w:szCs w:val="24"/>
        </w:rPr>
      </w:pPr>
      <w:r>
        <w:rPr>
          <w:rFonts w:ascii="Times New Roman" w:hAnsi="Times New Roman" w:cs="Times New Roman"/>
          <w:sz w:val="24"/>
          <w:szCs w:val="24"/>
        </w:rPr>
        <w:t>Pritarta VGK posėdyje 2022-11-16, Protokolo Nr.11</w:t>
      </w:r>
    </w:p>
    <w:p w:rsidR="00105B3E" w:rsidRDefault="00105B3E" w:rsidP="00105B3E">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Pritarta klasių auklėtojų metodinės grupės susirinkime 2022-11-30, protokolo Nr.13 </w:t>
      </w:r>
    </w:p>
    <w:p w:rsidR="00FD535F" w:rsidRDefault="00FD535F" w:rsidP="00090ECC"/>
    <w:p w:rsidR="00FD535F" w:rsidRDefault="00A03AF1" w:rsidP="00A03AF1">
      <w:pPr>
        <w:jc w:val="center"/>
      </w:pPr>
      <w:r>
        <w:t>_______________________________</w:t>
      </w:r>
    </w:p>
    <w:p w:rsidR="00FD535F" w:rsidRDefault="00FD535F" w:rsidP="00090ECC"/>
    <w:p w:rsidR="00A55B8F" w:rsidRDefault="00A55B8F" w:rsidP="00090ECC"/>
    <w:p w:rsidR="00FD535F" w:rsidRDefault="00FD535F" w:rsidP="00090ECC"/>
    <w:p w:rsidR="00FD535F" w:rsidRDefault="00FD535F" w:rsidP="00090ECC"/>
    <w:p w:rsidR="00A03AF1" w:rsidRDefault="00A03AF1" w:rsidP="00090ECC"/>
    <w:p w:rsidR="00A55B8F" w:rsidRPr="00A55B8F" w:rsidRDefault="00A55B8F" w:rsidP="00A55B8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Joniškio r. S</w:t>
      </w:r>
      <w:r w:rsidRPr="00A55B8F">
        <w:rPr>
          <w:rFonts w:ascii="Times New Roman" w:hAnsi="Times New Roman" w:cs="Times New Roman"/>
          <w:sz w:val="24"/>
          <w:szCs w:val="24"/>
        </w:rPr>
        <w:t>kaistgirio gimnazijos</w:t>
      </w:r>
    </w:p>
    <w:p w:rsidR="00A55B8F" w:rsidRDefault="00A55B8F" w:rsidP="00A55B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5B8F">
        <w:rPr>
          <w:rFonts w:ascii="Times New Roman" w:hAnsi="Times New Roman" w:cs="Times New Roman"/>
          <w:sz w:val="24"/>
          <w:szCs w:val="24"/>
        </w:rPr>
        <w:t>OLWEUS patyčių prevenc</w:t>
      </w:r>
      <w:r>
        <w:rPr>
          <w:rFonts w:ascii="Times New Roman" w:hAnsi="Times New Roman" w:cs="Times New Roman"/>
          <w:sz w:val="24"/>
          <w:szCs w:val="24"/>
        </w:rPr>
        <w:t xml:space="preserve">ijos programos </w:t>
      </w:r>
    </w:p>
    <w:p w:rsidR="00A55B8F" w:rsidRDefault="00A55B8F" w:rsidP="00A55B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drausminimo kopėtėlių </w:t>
      </w:r>
    </w:p>
    <w:p w:rsidR="00A55B8F" w:rsidRDefault="00A55B8F" w:rsidP="00A55B8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Priedas</w:t>
      </w:r>
    </w:p>
    <w:p w:rsidR="00D43D84" w:rsidRDefault="00D43D84" w:rsidP="00FD535F">
      <w:pPr>
        <w:spacing w:after="0" w:line="240" w:lineRule="auto"/>
        <w:jc w:val="center"/>
        <w:rPr>
          <w:rFonts w:ascii="Times New Roman" w:eastAsia="Times New Roman" w:hAnsi="Times New Roman" w:cs="Times New Roman"/>
          <w:b/>
          <w:sz w:val="24"/>
          <w:szCs w:val="24"/>
          <w:lang w:eastAsia="lt-LT"/>
        </w:rPr>
      </w:pPr>
      <w:bookmarkStart w:id="0" w:name="_GoBack"/>
      <w:bookmarkEnd w:id="0"/>
    </w:p>
    <w:p w:rsidR="00FD535F" w:rsidRPr="00FD535F" w:rsidRDefault="00A55B8F" w:rsidP="00FD53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JONIŠKIO R. </w:t>
      </w:r>
      <w:r w:rsidR="00FD535F" w:rsidRPr="00FD535F">
        <w:rPr>
          <w:rFonts w:ascii="Times New Roman" w:eastAsia="Times New Roman" w:hAnsi="Times New Roman" w:cs="Times New Roman"/>
          <w:b/>
          <w:sz w:val="24"/>
          <w:szCs w:val="24"/>
          <w:lang w:eastAsia="lt-LT"/>
        </w:rPr>
        <w:t>SKAISTGIRIO GIMNAZIJOS</w:t>
      </w:r>
    </w:p>
    <w:p w:rsidR="00FD535F" w:rsidRPr="00FD535F" w:rsidRDefault="00FD535F" w:rsidP="00FD535F">
      <w:pPr>
        <w:spacing w:after="0" w:line="240" w:lineRule="auto"/>
        <w:jc w:val="center"/>
        <w:rPr>
          <w:rFonts w:ascii="Times New Roman" w:eastAsia="Times New Roman" w:hAnsi="Times New Roman" w:cs="Times New Roman"/>
          <w:b/>
          <w:sz w:val="24"/>
          <w:szCs w:val="24"/>
          <w:lang w:eastAsia="lt-LT"/>
        </w:rPr>
      </w:pPr>
      <w:r w:rsidRPr="00FD535F">
        <w:rPr>
          <w:rFonts w:ascii="Times New Roman" w:eastAsia="Times New Roman" w:hAnsi="Times New Roman" w:cs="Times New Roman"/>
          <w:b/>
          <w:sz w:val="24"/>
          <w:szCs w:val="24"/>
          <w:lang w:eastAsia="lt-LT"/>
        </w:rPr>
        <w:t>SMURTO IR PATYČIŲ REGISTRACIJOS ŽURNALAS</w:t>
      </w:r>
    </w:p>
    <w:p w:rsidR="00FD535F" w:rsidRPr="00FD535F" w:rsidRDefault="00FD535F" w:rsidP="00FD535F">
      <w:pPr>
        <w:spacing w:after="0" w:line="240" w:lineRule="auto"/>
        <w:rPr>
          <w:rFonts w:ascii="Times New Roman" w:eastAsia="Times New Roman" w:hAnsi="Times New Roman" w:cs="Times New Roman"/>
          <w:sz w:val="18"/>
          <w:szCs w:val="18"/>
          <w:lang w:eastAsia="lt-LT"/>
        </w:rPr>
      </w:pPr>
    </w:p>
    <w:p w:rsidR="00FD535F" w:rsidRPr="00FD535F" w:rsidRDefault="00FD535F" w:rsidP="00FD535F">
      <w:pPr>
        <w:spacing w:after="0" w:line="240" w:lineRule="auto"/>
        <w:jc w:val="right"/>
        <w:rPr>
          <w:rFonts w:ascii="Times New Roman" w:eastAsia="Times New Roman" w:hAnsi="Times New Roman" w:cs="Times New Roman"/>
          <w:sz w:val="18"/>
          <w:szCs w:val="18"/>
          <w:lang w:eastAsia="lt-LT"/>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5"/>
        <w:gridCol w:w="1589"/>
        <w:gridCol w:w="2551"/>
        <w:gridCol w:w="1560"/>
        <w:gridCol w:w="1529"/>
        <w:gridCol w:w="1276"/>
      </w:tblGrid>
      <w:tr w:rsidR="00FD535F" w:rsidRPr="00FD535F" w:rsidTr="00A55B8F">
        <w:trPr>
          <w:trHeight w:val="1114"/>
        </w:trPr>
        <w:tc>
          <w:tcPr>
            <w:tcW w:w="709" w:type="dxa"/>
            <w:shd w:val="clear" w:color="auto" w:fill="auto"/>
            <w:vAlign w:val="center"/>
          </w:tcPr>
          <w:p w:rsidR="00FD535F" w:rsidRPr="00FD535F" w:rsidRDefault="00FD535F" w:rsidP="00FD535F">
            <w:pPr>
              <w:spacing w:after="0" w:line="240" w:lineRule="auto"/>
              <w:jc w:val="center"/>
              <w:rPr>
                <w:rFonts w:ascii="Times New Roman" w:eastAsia="Times New Roman" w:hAnsi="Times New Roman" w:cs="Times New Roman"/>
                <w:b/>
                <w:sz w:val="24"/>
                <w:szCs w:val="24"/>
                <w:lang w:eastAsia="lt-LT"/>
              </w:rPr>
            </w:pPr>
            <w:r w:rsidRPr="00FD535F">
              <w:rPr>
                <w:rFonts w:ascii="Times New Roman" w:eastAsia="Times New Roman" w:hAnsi="Times New Roman" w:cs="Times New Roman"/>
                <w:b/>
                <w:sz w:val="24"/>
                <w:szCs w:val="24"/>
                <w:lang w:eastAsia="lt-LT"/>
              </w:rPr>
              <w:t>Eil. Nr.</w:t>
            </w:r>
          </w:p>
        </w:tc>
        <w:tc>
          <w:tcPr>
            <w:tcW w:w="1135" w:type="dxa"/>
            <w:shd w:val="clear" w:color="auto" w:fill="auto"/>
            <w:vAlign w:val="center"/>
          </w:tcPr>
          <w:p w:rsidR="00FD535F" w:rsidRDefault="00FD535F" w:rsidP="00FD535F">
            <w:pPr>
              <w:spacing w:after="0" w:line="240" w:lineRule="auto"/>
              <w:jc w:val="center"/>
              <w:rPr>
                <w:rFonts w:ascii="Times New Roman" w:eastAsia="Times New Roman" w:hAnsi="Times New Roman" w:cs="Times New Roman"/>
                <w:b/>
                <w:sz w:val="24"/>
                <w:szCs w:val="24"/>
                <w:lang w:eastAsia="lt-LT"/>
              </w:rPr>
            </w:pPr>
            <w:r w:rsidRPr="00FD535F">
              <w:rPr>
                <w:rFonts w:ascii="Times New Roman" w:eastAsia="Times New Roman" w:hAnsi="Times New Roman" w:cs="Times New Roman"/>
                <w:b/>
                <w:sz w:val="24"/>
                <w:szCs w:val="24"/>
                <w:lang w:eastAsia="lt-LT"/>
              </w:rPr>
              <w:t>Data</w:t>
            </w:r>
          </w:p>
          <w:p w:rsidR="00C157D2" w:rsidRDefault="00C157D2" w:rsidP="00FD53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Laikas</w:t>
            </w:r>
          </w:p>
          <w:p w:rsidR="00C157D2" w:rsidRPr="00FD535F" w:rsidRDefault="00C157D2" w:rsidP="00FD53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Vieta</w:t>
            </w:r>
          </w:p>
        </w:tc>
        <w:tc>
          <w:tcPr>
            <w:tcW w:w="1589" w:type="dxa"/>
            <w:shd w:val="clear" w:color="auto" w:fill="auto"/>
            <w:vAlign w:val="center"/>
          </w:tcPr>
          <w:p w:rsidR="00FD535F" w:rsidRPr="00FD535F" w:rsidRDefault="00463E91" w:rsidP="00FD53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Pranešė apie įvykį</w:t>
            </w:r>
          </w:p>
        </w:tc>
        <w:tc>
          <w:tcPr>
            <w:tcW w:w="2551" w:type="dxa"/>
            <w:shd w:val="clear" w:color="auto" w:fill="auto"/>
            <w:vAlign w:val="center"/>
          </w:tcPr>
          <w:p w:rsidR="00FD535F" w:rsidRPr="00FD535F" w:rsidRDefault="00C157D2" w:rsidP="00C157D2">
            <w:pPr>
              <w:spacing w:after="0" w:line="240" w:lineRule="auto"/>
              <w:jc w:val="center"/>
              <w:rPr>
                <w:rFonts w:ascii="Times New Roman" w:eastAsia="Times New Roman" w:hAnsi="Times New Roman" w:cs="Times New Roman"/>
                <w:b/>
                <w:sz w:val="24"/>
                <w:szCs w:val="24"/>
                <w:lang w:eastAsia="lt-LT"/>
              </w:rPr>
            </w:pPr>
            <w:r w:rsidRPr="00FD535F">
              <w:rPr>
                <w:rFonts w:ascii="Times New Roman" w:eastAsia="Times New Roman" w:hAnsi="Times New Roman" w:cs="Times New Roman"/>
                <w:b/>
                <w:sz w:val="24"/>
                <w:szCs w:val="24"/>
                <w:lang w:eastAsia="lt-LT"/>
              </w:rPr>
              <w:t xml:space="preserve">Informacija apie įvykį </w:t>
            </w:r>
          </w:p>
        </w:tc>
        <w:tc>
          <w:tcPr>
            <w:tcW w:w="1560" w:type="dxa"/>
            <w:shd w:val="clear" w:color="auto" w:fill="auto"/>
            <w:vAlign w:val="center"/>
          </w:tcPr>
          <w:p w:rsidR="00FD535F" w:rsidRPr="00FD535F" w:rsidRDefault="00C157D2" w:rsidP="00FD535F">
            <w:pPr>
              <w:spacing w:after="0" w:line="240" w:lineRule="auto"/>
              <w:jc w:val="center"/>
              <w:rPr>
                <w:rFonts w:ascii="Times New Roman" w:eastAsia="Times New Roman" w:hAnsi="Times New Roman" w:cs="Times New Roman"/>
                <w:b/>
                <w:sz w:val="24"/>
                <w:szCs w:val="24"/>
                <w:lang w:eastAsia="lt-LT"/>
              </w:rPr>
            </w:pPr>
            <w:r w:rsidRPr="00C157D2">
              <w:rPr>
                <w:rFonts w:ascii="Times New Roman" w:eastAsia="Times New Roman" w:hAnsi="Times New Roman" w:cs="Times New Roman"/>
                <w:b/>
                <w:sz w:val="24"/>
                <w:szCs w:val="24"/>
                <w:lang w:eastAsia="lt-LT"/>
              </w:rPr>
              <w:t>Smurtą ar patyčias patyręs asmuo</w:t>
            </w:r>
          </w:p>
        </w:tc>
        <w:tc>
          <w:tcPr>
            <w:tcW w:w="1529" w:type="dxa"/>
            <w:shd w:val="clear" w:color="auto" w:fill="auto"/>
          </w:tcPr>
          <w:p w:rsidR="00FD535F" w:rsidRPr="00FD535F" w:rsidRDefault="00C157D2" w:rsidP="00FD535F">
            <w:pPr>
              <w:spacing w:after="0" w:line="240" w:lineRule="auto"/>
              <w:rPr>
                <w:rFonts w:ascii="Times New Roman" w:eastAsia="Times New Roman" w:hAnsi="Times New Roman" w:cs="Times New Roman"/>
                <w:b/>
                <w:sz w:val="24"/>
                <w:szCs w:val="24"/>
                <w:lang w:eastAsia="lt-LT"/>
              </w:rPr>
            </w:pPr>
            <w:r w:rsidRPr="00C157D2">
              <w:rPr>
                <w:rFonts w:ascii="Times New Roman" w:eastAsia="Times New Roman" w:hAnsi="Times New Roman" w:cs="Times New Roman"/>
                <w:b/>
                <w:sz w:val="24"/>
                <w:szCs w:val="24"/>
                <w:lang w:eastAsia="lt-LT"/>
              </w:rPr>
              <w:t>Smurtavęs ar besityčiojęs asmuo</w:t>
            </w:r>
          </w:p>
        </w:tc>
        <w:tc>
          <w:tcPr>
            <w:tcW w:w="1276"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4"/>
                <w:szCs w:val="24"/>
                <w:lang w:eastAsia="lt-LT"/>
              </w:rPr>
            </w:pPr>
            <w:r w:rsidRPr="00FD535F">
              <w:rPr>
                <w:rFonts w:ascii="Times New Roman" w:eastAsia="Times New Roman" w:hAnsi="Times New Roman" w:cs="Times New Roman"/>
                <w:b/>
                <w:sz w:val="24"/>
                <w:szCs w:val="24"/>
                <w:lang w:eastAsia="lt-LT"/>
              </w:rPr>
              <w:t>Prevenciniai veiksmai</w:t>
            </w:r>
          </w:p>
        </w:tc>
      </w:tr>
      <w:tr w:rsidR="00FD535F" w:rsidRPr="00FD535F" w:rsidTr="00A55B8F">
        <w:trPr>
          <w:trHeight w:val="1127"/>
        </w:trPr>
        <w:tc>
          <w:tcPr>
            <w:tcW w:w="70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135"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8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2551" w:type="dxa"/>
            <w:shd w:val="clear" w:color="auto" w:fill="auto"/>
          </w:tcPr>
          <w:p w:rsidR="00FD535F" w:rsidRDefault="00FD535F"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Pr="00FD535F" w:rsidRDefault="00C157D2" w:rsidP="00FD535F">
            <w:pPr>
              <w:spacing w:after="0" w:line="240" w:lineRule="auto"/>
              <w:rPr>
                <w:rFonts w:ascii="Times New Roman" w:eastAsia="Times New Roman" w:hAnsi="Times New Roman" w:cs="Times New Roman"/>
                <w:b/>
                <w:sz w:val="20"/>
                <w:szCs w:val="20"/>
                <w:lang w:eastAsia="lt-LT"/>
              </w:rPr>
            </w:pPr>
          </w:p>
        </w:tc>
        <w:tc>
          <w:tcPr>
            <w:tcW w:w="1560"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2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276"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r>
      <w:tr w:rsidR="00FD535F" w:rsidRPr="00FD535F" w:rsidTr="00A55B8F">
        <w:trPr>
          <w:trHeight w:val="1141"/>
        </w:trPr>
        <w:tc>
          <w:tcPr>
            <w:tcW w:w="70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135"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8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2551" w:type="dxa"/>
            <w:shd w:val="clear" w:color="auto" w:fill="auto"/>
          </w:tcPr>
          <w:p w:rsidR="00FD535F" w:rsidRDefault="00FD535F"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Pr="00FD535F" w:rsidRDefault="00C157D2" w:rsidP="00FD535F">
            <w:pPr>
              <w:spacing w:after="0" w:line="240" w:lineRule="auto"/>
              <w:rPr>
                <w:rFonts w:ascii="Times New Roman" w:eastAsia="Times New Roman" w:hAnsi="Times New Roman" w:cs="Times New Roman"/>
                <w:b/>
                <w:sz w:val="20"/>
                <w:szCs w:val="20"/>
                <w:lang w:eastAsia="lt-LT"/>
              </w:rPr>
            </w:pPr>
          </w:p>
        </w:tc>
        <w:tc>
          <w:tcPr>
            <w:tcW w:w="1560"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2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276"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r>
      <w:tr w:rsidR="00FD535F" w:rsidRPr="00FD535F" w:rsidTr="00A55B8F">
        <w:trPr>
          <w:trHeight w:val="1127"/>
        </w:trPr>
        <w:tc>
          <w:tcPr>
            <w:tcW w:w="70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135"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8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2551" w:type="dxa"/>
            <w:shd w:val="clear" w:color="auto" w:fill="auto"/>
          </w:tcPr>
          <w:p w:rsidR="00FD535F" w:rsidRDefault="00FD535F"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Pr="00FD535F" w:rsidRDefault="00C157D2" w:rsidP="00FD535F">
            <w:pPr>
              <w:spacing w:after="0" w:line="240" w:lineRule="auto"/>
              <w:rPr>
                <w:rFonts w:ascii="Times New Roman" w:eastAsia="Times New Roman" w:hAnsi="Times New Roman" w:cs="Times New Roman"/>
                <w:b/>
                <w:sz w:val="20"/>
                <w:szCs w:val="20"/>
                <w:lang w:eastAsia="lt-LT"/>
              </w:rPr>
            </w:pPr>
          </w:p>
        </w:tc>
        <w:tc>
          <w:tcPr>
            <w:tcW w:w="1560"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2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276"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r>
      <w:tr w:rsidR="00FD535F" w:rsidRPr="00FD535F" w:rsidTr="00A55B8F">
        <w:trPr>
          <w:trHeight w:val="1127"/>
        </w:trPr>
        <w:tc>
          <w:tcPr>
            <w:tcW w:w="70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135"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8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2551" w:type="dxa"/>
            <w:shd w:val="clear" w:color="auto" w:fill="auto"/>
          </w:tcPr>
          <w:p w:rsidR="00FD535F" w:rsidRDefault="00FD535F"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Default="00C157D2" w:rsidP="00FD535F">
            <w:pPr>
              <w:spacing w:after="0" w:line="240" w:lineRule="auto"/>
              <w:rPr>
                <w:rFonts w:ascii="Times New Roman" w:eastAsia="Times New Roman" w:hAnsi="Times New Roman" w:cs="Times New Roman"/>
                <w:b/>
                <w:sz w:val="20"/>
                <w:szCs w:val="20"/>
                <w:lang w:eastAsia="lt-LT"/>
              </w:rPr>
            </w:pPr>
          </w:p>
          <w:p w:rsidR="00C157D2" w:rsidRPr="00FD535F" w:rsidRDefault="00C157D2" w:rsidP="00FD535F">
            <w:pPr>
              <w:spacing w:after="0" w:line="240" w:lineRule="auto"/>
              <w:rPr>
                <w:rFonts w:ascii="Times New Roman" w:eastAsia="Times New Roman" w:hAnsi="Times New Roman" w:cs="Times New Roman"/>
                <w:b/>
                <w:sz w:val="20"/>
                <w:szCs w:val="20"/>
                <w:lang w:eastAsia="lt-LT"/>
              </w:rPr>
            </w:pPr>
          </w:p>
        </w:tc>
        <w:tc>
          <w:tcPr>
            <w:tcW w:w="1560"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529"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c>
          <w:tcPr>
            <w:tcW w:w="1276" w:type="dxa"/>
            <w:shd w:val="clear" w:color="auto" w:fill="auto"/>
          </w:tcPr>
          <w:p w:rsidR="00FD535F" w:rsidRPr="00FD535F" w:rsidRDefault="00FD535F" w:rsidP="00FD535F">
            <w:pPr>
              <w:spacing w:after="0" w:line="240" w:lineRule="auto"/>
              <w:rPr>
                <w:rFonts w:ascii="Times New Roman" w:eastAsia="Times New Roman" w:hAnsi="Times New Roman" w:cs="Times New Roman"/>
                <w:b/>
                <w:sz w:val="20"/>
                <w:szCs w:val="20"/>
                <w:lang w:eastAsia="lt-LT"/>
              </w:rPr>
            </w:pPr>
          </w:p>
        </w:tc>
      </w:tr>
    </w:tbl>
    <w:p w:rsidR="00FD535F" w:rsidRDefault="00FD535F" w:rsidP="00FD535F"/>
    <w:p w:rsidR="00A55B8F" w:rsidRPr="00FD535F" w:rsidRDefault="00A55B8F" w:rsidP="00A55B8F">
      <w:pPr>
        <w:jc w:val="center"/>
      </w:pPr>
      <w:r>
        <w:t>______________________________</w:t>
      </w:r>
    </w:p>
    <w:sectPr w:rsidR="00A55B8F" w:rsidRPr="00FD535F" w:rsidSect="0045340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A560C"/>
    <w:multiLevelType w:val="hybridMultilevel"/>
    <w:tmpl w:val="0D025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65"/>
    <w:rsid w:val="00090ECC"/>
    <w:rsid w:val="00105B3E"/>
    <w:rsid w:val="00180496"/>
    <w:rsid w:val="00232365"/>
    <w:rsid w:val="00453403"/>
    <w:rsid w:val="00463E91"/>
    <w:rsid w:val="006A2F19"/>
    <w:rsid w:val="00A03AF1"/>
    <w:rsid w:val="00A55B8F"/>
    <w:rsid w:val="00B9707C"/>
    <w:rsid w:val="00BB4831"/>
    <w:rsid w:val="00C157D2"/>
    <w:rsid w:val="00D43D84"/>
    <w:rsid w:val="00D63330"/>
    <w:rsid w:val="00D86A75"/>
    <w:rsid w:val="00D9587F"/>
    <w:rsid w:val="00E93C33"/>
    <w:rsid w:val="00EA1B1C"/>
    <w:rsid w:val="00EF1143"/>
    <w:rsid w:val="00FA272F"/>
    <w:rsid w:val="00FD5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9C7D7-FA98-4996-A683-9D83AB57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D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3236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2365"/>
    <w:rPr>
      <w:rFonts w:ascii="Tahoma" w:hAnsi="Tahoma" w:cs="Tahoma"/>
      <w:sz w:val="16"/>
      <w:szCs w:val="16"/>
    </w:rPr>
  </w:style>
  <w:style w:type="paragraph" w:styleId="Sraopastraipa">
    <w:name w:val="List Paragraph"/>
    <w:basedOn w:val="prastasis"/>
    <w:uiPriority w:val="34"/>
    <w:qFormat/>
    <w:rsid w:val="00EA1B1C"/>
    <w:pPr>
      <w:ind w:left="720"/>
      <w:contextualSpacing/>
    </w:pPr>
  </w:style>
  <w:style w:type="table" w:styleId="Lentelstinklelis">
    <w:name w:val="Table Grid"/>
    <w:basedOn w:val="prastojilentel"/>
    <w:uiPriority w:val="59"/>
    <w:rsid w:val="0009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7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3070</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Mokytojai</cp:lastModifiedBy>
  <cp:revision>2</cp:revision>
  <dcterms:created xsi:type="dcterms:W3CDTF">2022-12-05T14:25:00Z</dcterms:created>
  <dcterms:modified xsi:type="dcterms:W3CDTF">2022-12-05T14:25:00Z</dcterms:modified>
</cp:coreProperties>
</file>